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0A" w:rsidRDefault="003E1C0A">
      <w:pPr>
        <w:jc w:val="center"/>
        <w:rPr>
          <w:rFonts w:ascii="Cambria" w:eastAsia="Cambria" w:hAnsi="Cambria" w:cs="Cambria"/>
          <w:b/>
          <w:sz w:val="24"/>
        </w:rPr>
      </w:pPr>
      <w:r>
        <w:rPr>
          <w:rFonts w:ascii="Cambria" w:eastAsia="Cambria" w:hAnsi="Cambria" w:cs="Cambria"/>
          <w:b/>
          <w:sz w:val="24"/>
        </w:rPr>
        <w:t xml:space="preserve">                                                                                                                              Príloha č. 2</w:t>
      </w:r>
    </w:p>
    <w:p w:rsidR="0007230F" w:rsidRDefault="00EC685E">
      <w:pPr>
        <w:jc w:val="center"/>
        <w:rPr>
          <w:rFonts w:ascii="Cambria" w:eastAsia="Cambria" w:hAnsi="Cambria" w:cs="Cambria"/>
          <w:b/>
          <w:sz w:val="24"/>
        </w:rPr>
      </w:pPr>
      <w:r>
        <w:rPr>
          <w:rFonts w:ascii="Cambria" w:eastAsia="Cambria" w:hAnsi="Cambria" w:cs="Cambria"/>
          <w:b/>
          <w:sz w:val="24"/>
        </w:rPr>
        <w:t>Zhodnotenie výsledkov interných kontrol vykonaných v hodnotenom rozpočtovom roku 2017</w:t>
      </w:r>
    </w:p>
    <w:p w:rsidR="0007230F" w:rsidRDefault="0007230F">
      <w:pPr>
        <w:jc w:val="both"/>
        <w:rPr>
          <w:rFonts w:ascii="Cambria" w:eastAsia="Cambria" w:hAnsi="Cambria" w:cs="Cambria"/>
          <w:b/>
          <w:sz w:val="24"/>
        </w:rPr>
      </w:pPr>
    </w:p>
    <w:p w:rsidR="0007230F" w:rsidRDefault="00EC685E">
      <w:pPr>
        <w:jc w:val="both"/>
        <w:rPr>
          <w:rFonts w:ascii="Cambria" w:eastAsia="Cambria" w:hAnsi="Cambria" w:cs="Cambria"/>
          <w:sz w:val="24"/>
        </w:rPr>
      </w:pPr>
      <w:r>
        <w:rPr>
          <w:rFonts w:ascii="Cambria" w:eastAsia="Cambria" w:hAnsi="Cambria" w:cs="Cambria"/>
          <w:b/>
          <w:sz w:val="24"/>
        </w:rPr>
        <w:tab/>
      </w:r>
      <w:r>
        <w:rPr>
          <w:rFonts w:ascii="Cambria" w:eastAsia="Cambria" w:hAnsi="Cambria" w:cs="Cambria"/>
          <w:sz w:val="24"/>
        </w:rPr>
        <w:t xml:space="preserve">V roku 2017 útvar vnútorného auditu Kancelárie prezidenta Slovenskej republiky (ďalej len „kancelária“) vykonával svoju činnosť na základe </w:t>
      </w:r>
      <w:r w:rsidR="002A293B">
        <w:rPr>
          <w:rFonts w:ascii="Cambria" w:eastAsia="Cambria" w:hAnsi="Cambria" w:cs="Cambria"/>
          <w:sz w:val="24"/>
        </w:rPr>
        <w:t>r</w:t>
      </w:r>
      <w:r>
        <w:rPr>
          <w:rFonts w:ascii="Cambria" w:eastAsia="Cambria" w:hAnsi="Cambria" w:cs="Cambria"/>
          <w:sz w:val="24"/>
        </w:rPr>
        <w:t>očného plánu činnosti, ktorého východiskom bola vypracovaná analýza rizík. Kľúčovým prvkom plánovania bolo poznanie auditovaného prostredia a </w:t>
      </w:r>
      <w:r w:rsidR="002A293B">
        <w:rPr>
          <w:rFonts w:ascii="Cambria" w:eastAsia="Cambria" w:hAnsi="Cambria" w:cs="Cambria"/>
          <w:sz w:val="24"/>
        </w:rPr>
        <w:t xml:space="preserve"> </w:t>
      </w:r>
      <w:r>
        <w:rPr>
          <w:rFonts w:ascii="Cambria" w:eastAsia="Cambria" w:hAnsi="Cambria" w:cs="Cambria"/>
          <w:sz w:val="24"/>
        </w:rPr>
        <w:t>získanie informácií a </w:t>
      </w:r>
      <w:r w:rsidR="002A293B">
        <w:rPr>
          <w:rFonts w:ascii="Cambria" w:eastAsia="Cambria" w:hAnsi="Cambria" w:cs="Cambria"/>
          <w:sz w:val="24"/>
        </w:rPr>
        <w:t xml:space="preserve"> </w:t>
      </w:r>
      <w:r>
        <w:rPr>
          <w:rFonts w:ascii="Cambria" w:eastAsia="Cambria" w:hAnsi="Cambria" w:cs="Cambria"/>
          <w:sz w:val="24"/>
        </w:rPr>
        <w:t>poznatkov z vykonaných vnútorných auditov v roku 2016. Rozsah plánovaných audítorských akcií bol primeraný zdrojom pre splnenie cieľov auditu a zahŕňal aj požiadavky vedúcich zamestnancov.</w:t>
      </w:r>
    </w:p>
    <w:p w:rsidR="0007230F" w:rsidRDefault="00EC685E">
      <w:pPr>
        <w:jc w:val="both"/>
        <w:rPr>
          <w:rFonts w:ascii="Cambria" w:eastAsia="Cambria" w:hAnsi="Cambria" w:cs="Cambria"/>
          <w:sz w:val="24"/>
        </w:rPr>
      </w:pPr>
      <w:r>
        <w:rPr>
          <w:rFonts w:ascii="Cambria" w:eastAsia="Cambria" w:hAnsi="Cambria" w:cs="Cambria"/>
          <w:sz w:val="24"/>
        </w:rPr>
        <w:t>V</w:t>
      </w:r>
      <w:r w:rsidR="00C2760C">
        <w:rPr>
          <w:rFonts w:ascii="Cambria" w:eastAsia="Cambria" w:hAnsi="Cambria" w:cs="Cambria"/>
          <w:sz w:val="24"/>
        </w:rPr>
        <w:t>ykonané boli nasledovné vnútorné</w:t>
      </w:r>
      <w:r>
        <w:rPr>
          <w:rFonts w:ascii="Cambria" w:eastAsia="Cambria" w:hAnsi="Cambria" w:cs="Cambria"/>
          <w:sz w:val="24"/>
        </w:rPr>
        <w:t xml:space="preserve"> audity:</w:t>
      </w:r>
    </w:p>
    <w:tbl>
      <w:tblPr>
        <w:tblW w:w="0" w:type="auto"/>
        <w:tblInd w:w="108" w:type="dxa"/>
        <w:tblCellMar>
          <w:left w:w="10" w:type="dxa"/>
          <w:right w:w="10" w:type="dxa"/>
        </w:tblCellMar>
        <w:tblLook w:val="04A0" w:firstRow="1" w:lastRow="0" w:firstColumn="1" w:lastColumn="0" w:noHBand="0" w:noVBand="1"/>
      </w:tblPr>
      <w:tblGrid>
        <w:gridCol w:w="700"/>
        <w:gridCol w:w="2876"/>
        <w:gridCol w:w="1794"/>
        <w:gridCol w:w="1790"/>
        <w:gridCol w:w="1794"/>
      </w:tblGrid>
      <w:tr w:rsidR="0007230F">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rFonts w:ascii="Cambria" w:eastAsia="Cambria" w:hAnsi="Cambria" w:cs="Cambria"/>
                <w:b/>
                <w:i/>
                <w:sz w:val="18"/>
              </w:rPr>
            </w:pPr>
            <w:r>
              <w:rPr>
                <w:rFonts w:ascii="Cambria" w:eastAsia="Cambria" w:hAnsi="Cambria" w:cs="Cambria"/>
                <w:b/>
                <w:i/>
                <w:sz w:val="18"/>
              </w:rPr>
              <w:t>číslo</w:t>
            </w:r>
          </w:p>
          <w:p w:rsidR="0007230F" w:rsidRDefault="0007230F">
            <w:pPr>
              <w:spacing w:after="0" w:line="240" w:lineRule="auto"/>
              <w:jc w:val="center"/>
              <w:rPr>
                <w:b/>
                <w:i/>
              </w:rPr>
            </w:pPr>
          </w:p>
        </w:tc>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b/>
                <w:i/>
              </w:rPr>
            </w:pPr>
            <w:r>
              <w:rPr>
                <w:rFonts w:ascii="Cambria" w:eastAsia="Cambria" w:hAnsi="Cambria" w:cs="Cambria"/>
                <w:b/>
                <w:i/>
                <w:sz w:val="18"/>
              </w:rPr>
              <w:t>názov</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rFonts w:ascii="Cambria" w:eastAsia="Cambria" w:hAnsi="Cambria" w:cs="Cambria"/>
                <w:b/>
                <w:i/>
                <w:sz w:val="18"/>
              </w:rPr>
            </w:pPr>
            <w:r>
              <w:rPr>
                <w:rFonts w:ascii="Cambria" w:eastAsia="Cambria" w:hAnsi="Cambria" w:cs="Cambria"/>
                <w:b/>
                <w:i/>
                <w:sz w:val="18"/>
              </w:rPr>
              <w:t>auditovaný subjekt</w:t>
            </w:r>
          </w:p>
          <w:p w:rsidR="0007230F" w:rsidRDefault="0007230F">
            <w:pPr>
              <w:spacing w:after="0" w:line="240" w:lineRule="auto"/>
              <w:jc w:val="center"/>
              <w:rPr>
                <w:b/>
                <w:i/>
              </w:rPr>
            </w:pP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b/>
                <w:i/>
              </w:rPr>
            </w:pPr>
            <w:r>
              <w:rPr>
                <w:rFonts w:ascii="Cambria" w:eastAsia="Cambria" w:hAnsi="Cambria" w:cs="Cambria"/>
                <w:b/>
                <w:i/>
                <w:sz w:val="18"/>
              </w:rPr>
              <w:t>opatrenia</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b/>
                <w:i/>
              </w:rPr>
            </w:pPr>
            <w:r>
              <w:rPr>
                <w:rFonts w:ascii="Cambria" w:eastAsia="Cambria" w:hAnsi="Cambria" w:cs="Cambria"/>
                <w:b/>
                <w:i/>
                <w:sz w:val="18"/>
              </w:rPr>
              <w:t>poznámky</w:t>
            </w:r>
          </w:p>
        </w:tc>
      </w:tr>
      <w:tr w:rsidR="0007230F">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pPr>
            <w:r>
              <w:rPr>
                <w:rFonts w:ascii="Cambria" w:eastAsia="Cambria" w:hAnsi="Cambria" w:cs="Cambria"/>
                <w:sz w:val="20"/>
              </w:rPr>
              <w:t>1.</w:t>
            </w:r>
          </w:p>
        </w:tc>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sz w:val="20"/>
              </w:rPr>
              <w:t>Analýza spoľahlivosti, správnosti a úplnosti informácií o finančných operáciách</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sz w:val="20"/>
              </w:rPr>
              <w:t>odbor ekonomiky a správy</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sz w:val="20"/>
              </w:rPr>
              <w:t>8. opatrení formou príkazu vedúceho kancelárie</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sz w:val="20"/>
              </w:rPr>
              <w:t>opatrenia boli splnené resp. sa priebežne plnia</w:t>
            </w:r>
          </w:p>
        </w:tc>
      </w:tr>
      <w:tr w:rsidR="0007230F">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pPr>
            <w:r>
              <w:rPr>
                <w:rFonts w:ascii="Cambria" w:eastAsia="Cambria" w:hAnsi="Cambria" w:cs="Cambria"/>
                <w:sz w:val="20"/>
              </w:rPr>
              <w:t>2.</w:t>
            </w:r>
          </w:p>
        </w:tc>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sz w:val="20"/>
              </w:rPr>
              <w:t xml:space="preserve">Postup kancelárie prezidenta Slovenskej republiky pri poskytovaní rozpočtových prostriedkov na reprezentačné a propagačné účely </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pPr>
            <w:r>
              <w:rPr>
                <w:rFonts w:ascii="Cambria" w:eastAsia="Cambria" w:hAnsi="Cambria" w:cs="Cambria"/>
                <w:sz w:val="20"/>
              </w:rPr>
              <w:t>odbor ekonomiky a správy</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pPr>
            <w:r>
              <w:rPr>
                <w:rFonts w:ascii="Cambria" w:eastAsia="Cambria" w:hAnsi="Cambria" w:cs="Cambria"/>
                <w:sz w:val="20"/>
              </w:rPr>
              <w:t>8. opatrenia na nápravu</w:t>
            </w:r>
            <w:r w:rsidR="002A293B">
              <w:rPr>
                <w:rFonts w:ascii="Cambria" w:eastAsia="Cambria" w:hAnsi="Cambria" w:cs="Cambria"/>
                <w:sz w:val="20"/>
              </w:rPr>
              <w:t xml:space="preserve"> formou príkazu vedúceho kancelárie</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pPr>
            <w:r>
              <w:rPr>
                <w:rFonts w:ascii="Cambria" w:eastAsia="Cambria" w:hAnsi="Cambria" w:cs="Cambria"/>
                <w:sz w:val="20"/>
              </w:rPr>
              <w:t>opatrenia boli splnené a priebežne sa  plnia</w:t>
            </w:r>
          </w:p>
        </w:tc>
      </w:tr>
      <w:tr w:rsidR="0007230F">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pPr>
            <w:r>
              <w:rPr>
                <w:rFonts w:ascii="Cambria" w:eastAsia="Cambria" w:hAnsi="Cambria" w:cs="Cambria"/>
                <w:sz w:val="20"/>
              </w:rPr>
              <w:t>3.</w:t>
            </w:r>
          </w:p>
        </w:tc>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sz w:val="20"/>
              </w:rPr>
              <w:t xml:space="preserve">Priznávanie cestovných náhrad pri tuzemských a zahraničných pracovných cestách </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pPr>
            <w:r>
              <w:rPr>
                <w:rFonts w:ascii="Cambria" w:eastAsia="Cambria" w:hAnsi="Cambria" w:cs="Cambria"/>
                <w:sz w:val="20"/>
              </w:rPr>
              <w:t>odbor ekonomiky a správy</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7. opatrení na nápravu</w:t>
            </w:r>
            <w:r w:rsidR="002A293B">
              <w:rPr>
                <w:rFonts w:ascii="Cambria" w:eastAsia="Cambria" w:hAnsi="Cambria" w:cs="Cambria"/>
                <w:sz w:val="20"/>
              </w:rPr>
              <w:t xml:space="preserve"> formou príkazu vedúceho kancelárie</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opatrenia boli splnené a priebežne sa plnia</w:t>
            </w:r>
          </w:p>
        </w:tc>
      </w:tr>
      <w:tr w:rsidR="0007230F">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4.</w:t>
            </w:r>
          </w:p>
        </w:tc>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Postup škodovej komisie – prerokovanie a posudzovanie škodových udalostí</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škodová komisia</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1019AF" w:rsidP="001019AF">
            <w:pPr>
              <w:spacing w:after="0" w:line="240" w:lineRule="auto"/>
              <w:jc w:val="center"/>
              <w:rPr>
                <w:rFonts w:ascii="Cambria" w:eastAsia="Cambria" w:hAnsi="Cambria" w:cs="Cambria"/>
                <w:sz w:val="20"/>
              </w:rPr>
            </w:pPr>
            <w:r>
              <w:rPr>
                <w:rFonts w:ascii="Cambria" w:eastAsia="Cambria" w:hAnsi="Cambria" w:cs="Cambria"/>
                <w:sz w:val="20"/>
              </w:rPr>
              <w:t>3</w:t>
            </w:r>
            <w:r w:rsidR="002A293B">
              <w:rPr>
                <w:rFonts w:ascii="Cambria" w:eastAsia="Cambria" w:hAnsi="Cambria" w:cs="Cambria"/>
                <w:sz w:val="20"/>
              </w:rPr>
              <w:t xml:space="preserve"> opatrenia na nápravu formu príkazu vedúceho kancelárie</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opatrenia sa priebežne plnia</w:t>
            </w:r>
          </w:p>
        </w:tc>
      </w:tr>
      <w:tr w:rsidR="0007230F">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pPr>
            <w:r>
              <w:rPr>
                <w:rFonts w:ascii="Cambria" w:eastAsia="Cambria" w:hAnsi="Cambria" w:cs="Cambria"/>
                <w:sz w:val="20"/>
              </w:rPr>
              <w:t>5.</w:t>
            </w:r>
          </w:p>
        </w:tc>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sz w:val="20"/>
              </w:rPr>
              <w:t>Dodržiavanie zákona č. 124/2006 Z. z. o bezpečnosti a ochrane zdravia a zákona č. 314/2001 Z. z. o ochrane pred požiarmi</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pPr>
            <w:r>
              <w:rPr>
                <w:rFonts w:ascii="Cambria" w:eastAsia="Cambria" w:hAnsi="Cambria" w:cs="Cambria"/>
                <w:sz w:val="20"/>
              </w:rPr>
              <w:t>odbor bezpečnosti a archívu</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vydať interné smernice týkajúce sa auditovanej oblasti</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rsidP="002A293B">
            <w:pPr>
              <w:spacing w:after="0" w:line="240" w:lineRule="auto"/>
              <w:jc w:val="center"/>
            </w:pPr>
            <w:r>
              <w:rPr>
                <w:rFonts w:ascii="Cambria" w:eastAsia="Cambria" w:hAnsi="Cambria" w:cs="Cambria"/>
                <w:sz w:val="20"/>
              </w:rPr>
              <w:t>problematika bude pravide</w:t>
            </w:r>
            <w:r w:rsidR="002A293B">
              <w:rPr>
                <w:rFonts w:ascii="Cambria" w:eastAsia="Cambria" w:hAnsi="Cambria" w:cs="Cambria"/>
                <w:sz w:val="20"/>
              </w:rPr>
              <w:t>l</w:t>
            </w:r>
            <w:r>
              <w:rPr>
                <w:rFonts w:ascii="Cambria" w:eastAsia="Cambria" w:hAnsi="Cambria" w:cs="Cambria"/>
                <w:sz w:val="20"/>
              </w:rPr>
              <w:t>n</w:t>
            </w:r>
            <w:r w:rsidR="002A293B">
              <w:rPr>
                <w:rFonts w:ascii="Cambria" w:eastAsia="Cambria" w:hAnsi="Cambria" w:cs="Cambria"/>
                <w:sz w:val="20"/>
              </w:rPr>
              <w:t>e</w:t>
            </w:r>
            <w:r>
              <w:rPr>
                <w:rFonts w:ascii="Cambria" w:eastAsia="Cambria" w:hAnsi="Cambria" w:cs="Cambria"/>
                <w:sz w:val="20"/>
              </w:rPr>
              <w:t xml:space="preserve"> zaraďovaná do plánu činnosti VA</w:t>
            </w:r>
          </w:p>
        </w:tc>
      </w:tr>
      <w:tr w:rsidR="0007230F">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07230F">
            <w:pPr>
              <w:spacing w:after="0" w:line="240" w:lineRule="auto"/>
              <w:jc w:val="center"/>
              <w:rPr>
                <w:rFonts w:ascii="Cambria" w:eastAsia="Cambria" w:hAnsi="Cambria" w:cs="Cambria"/>
                <w:sz w:val="20"/>
              </w:rPr>
            </w:pPr>
          </w:p>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rPr>
                <w:sz w:val="20"/>
              </w:rPr>
            </w:pPr>
            <w:r>
              <w:rPr>
                <w:rFonts w:ascii="Cambria" w:eastAsia="Cambria" w:hAnsi="Cambria" w:cs="Cambria"/>
                <w:sz w:val="20"/>
              </w:rPr>
              <w:t>6.</w:t>
            </w:r>
          </w:p>
        </w:tc>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07230F">
            <w:pPr>
              <w:spacing w:after="0" w:line="240" w:lineRule="auto"/>
              <w:jc w:val="center"/>
              <w:rPr>
                <w:rFonts w:ascii="Cambria" w:eastAsia="Cambria" w:hAnsi="Cambria" w:cs="Cambria"/>
                <w:sz w:val="20"/>
              </w:rPr>
            </w:pPr>
          </w:p>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rPr>
                <w:sz w:val="20"/>
              </w:rPr>
            </w:pPr>
            <w:r>
              <w:rPr>
                <w:rFonts w:ascii="Cambria" w:eastAsia="Cambria" w:hAnsi="Cambria" w:cs="Cambria"/>
                <w:sz w:val="20"/>
              </w:rPr>
              <w:t>Monitoring odporúčaných opatrení</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odbor ekonomiky a správy</w:t>
            </w:r>
          </w:p>
          <w:p w:rsidR="0007230F" w:rsidRDefault="0007230F">
            <w:pPr>
              <w:spacing w:after="0" w:line="240" w:lineRule="auto"/>
              <w:jc w:val="center"/>
              <w:rPr>
                <w:sz w:val="20"/>
              </w:rPr>
            </w:pP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zvýšiť úroveň vykonávania základnej finančnej kontroly</w:t>
            </w:r>
          </w:p>
          <w:p w:rsidR="002A293B" w:rsidRDefault="002A293B">
            <w:pPr>
              <w:spacing w:after="0" w:line="240" w:lineRule="auto"/>
              <w:jc w:val="center"/>
              <w:rPr>
                <w:rFonts w:ascii="Cambria" w:eastAsia="Cambria" w:hAnsi="Cambria" w:cs="Cambria"/>
                <w:sz w:val="20"/>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prístup zamestnancov k zavedeniu vnútorného auditu do organizačnej štruktúry pozitívny</w:t>
            </w:r>
          </w:p>
        </w:tc>
      </w:tr>
      <w:tr w:rsidR="0007230F">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07230F">
            <w:pPr>
              <w:spacing w:after="0" w:line="240" w:lineRule="auto"/>
              <w:jc w:val="center"/>
              <w:rPr>
                <w:rFonts w:ascii="Cambria" w:eastAsia="Cambria" w:hAnsi="Cambria" w:cs="Cambria"/>
                <w:sz w:val="20"/>
              </w:rPr>
            </w:pPr>
          </w:p>
          <w:p w:rsidR="0007230F" w:rsidRDefault="00EC685E">
            <w:pPr>
              <w:spacing w:after="0" w:line="240" w:lineRule="auto"/>
              <w:jc w:val="center"/>
            </w:pPr>
            <w:r>
              <w:rPr>
                <w:rFonts w:ascii="Cambria" w:eastAsia="Cambria" w:hAnsi="Cambria" w:cs="Cambria"/>
                <w:sz w:val="20"/>
              </w:rPr>
              <w:t>7.</w:t>
            </w:r>
          </w:p>
        </w:tc>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rPr>
                <w:rFonts w:ascii="Cambria" w:eastAsia="Cambria" w:hAnsi="Cambria" w:cs="Cambria"/>
                <w:sz w:val="20"/>
              </w:rPr>
            </w:pPr>
            <w:r>
              <w:rPr>
                <w:rFonts w:ascii="Cambria" w:eastAsia="Cambria" w:hAnsi="Cambria" w:cs="Cambria"/>
                <w:sz w:val="20"/>
              </w:rPr>
              <w:t>Analýza rizika a vykonávanie základnej finančnej kontroly</w:t>
            </w:r>
          </w:p>
          <w:p w:rsidR="0007230F" w:rsidRDefault="0007230F">
            <w:pPr>
              <w:spacing w:after="0" w:line="240" w:lineRule="auto"/>
              <w:jc w:val="cente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sz w:val="20"/>
              </w:rPr>
              <w:t>odbor ekonomiky a správy</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Pr="002A293B" w:rsidRDefault="002A293B" w:rsidP="002A293B">
            <w:pPr>
              <w:spacing w:after="0" w:line="240" w:lineRule="auto"/>
              <w:rPr>
                <w:rFonts w:ascii="Cambria" w:eastAsia="Calibri" w:hAnsi="Cambria" w:cs="Calibri"/>
                <w:sz w:val="20"/>
                <w:szCs w:val="20"/>
              </w:rPr>
            </w:pPr>
            <w:r w:rsidRPr="002A293B">
              <w:rPr>
                <w:rFonts w:ascii="Cambria" w:eastAsia="Calibri" w:hAnsi="Cambria" w:cs="Calibri"/>
                <w:sz w:val="20"/>
                <w:szCs w:val="20"/>
              </w:rPr>
              <w:t>vydať metodiku k vykonávaniu VA v kancelárii</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sz w:val="20"/>
              </w:rPr>
              <w:t>výsledkom je mapa rizík</w:t>
            </w:r>
          </w:p>
        </w:tc>
      </w:tr>
    </w:tbl>
    <w:p w:rsidR="0007230F" w:rsidRDefault="0007230F">
      <w:pPr>
        <w:rPr>
          <w:rFonts w:ascii="Cambria" w:eastAsia="Cambria" w:hAnsi="Cambria" w:cs="Cambria"/>
          <w:i/>
          <w:sz w:val="20"/>
        </w:rPr>
      </w:pPr>
    </w:p>
    <w:p w:rsidR="003E1C0A" w:rsidRDefault="003E1C0A">
      <w:pPr>
        <w:rPr>
          <w:rFonts w:ascii="Cambria" w:eastAsia="Cambria" w:hAnsi="Cambria" w:cs="Cambria"/>
          <w:i/>
          <w:sz w:val="20"/>
        </w:rPr>
      </w:pPr>
    </w:p>
    <w:p w:rsidR="003E1C0A" w:rsidRDefault="003E1C0A">
      <w:pPr>
        <w:rPr>
          <w:rFonts w:ascii="Cambria" w:eastAsia="Cambria" w:hAnsi="Cambria" w:cs="Cambria"/>
          <w:i/>
          <w:sz w:val="20"/>
        </w:rPr>
      </w:pPr>
    </w:p>
    <w:p w:rsidR="0007230F" w:rsidRDefault="00EC685E">
      <w:pPr>
        <w:rPr>
          <w:rFonts w:ascii="Cambria" w:eastAsia="Cambria" w:hAnsi="Cambria" w:cs="Cambria"/>
          <w:b/>
          <w:i/>
          <w:u w:val="single"/>
        </w:rPr>
      </w:pPr>
      <w:r>
        <w:rPr>
          <w:rFonts w:ascii="Cambria" w:eastAsia="Cambria" w:hAnsi="Cambria" w:cs="Cambria"/>
          <w:b/>
          <w:i/>
          <w:u w:val="single"/>
        </w:rPr>
        <w:lastRenderedPageBreak/>
        <w:t>Vnútorný audit č. 1</w:t>
      </w:r>
    </w:p>
    <w:p w:rsidR="0082184F" w:rsidRDefault="00EC685E">
      <w:pPr>
        <w:jc w:val="both"/>
        <w:rPr>
          <w:rFonts w:ascii="Cambria" w:eastAsia="Cambria" w:hAnsi="Cambria" w:cs="Cambria"/>
        </w:rPr>
      </w:pPr>
      <w:r>
        <w:rPr>
          <w:rFonts w:ascii="Cambria" w:eastAsia="Cambria" w:hAnsi="Cambria" w:cs="Cambria"/>
        </w:rPr>
        <w:tab/>
        <w:t>V rámci vnútorného auditu boli hodnotené postupy finančného riadenia, výkazníctvo, účtovníctvo, finančné operácie vo vnútri Kancelárie prezidenta Slovenskej republiky ako účtovnej jednotky, účinnosť vnútorného kontrolného systému – vykonávanie finančnej kontroly finančných operácií alebo ich častí. Posúdená bola organizačná štruktúra auditovaného subjektu – odboru ekonomiky a správy, efektívnosť procesov a informačných tokov, vyťaženosť jednotlivých zamestnancov, duplicita pracovných úloh v opisoch pracovných činností a splnenie kvalifikačných požiadaviek. Cieľom bolo analyzovať silné a </w:t>
      </w:r>
      <w:r w:rsidR="002A293B">
        <w:rPr>
          <w:rFonts w:ascii="Cambria" w:eastAsia="Cambria" w:hAnsi="Cambria" w:cs="Cambria"/>
        </w:rPr>
        <w:t xml:space="preserve"> </w:t>
      </w:r>
      <w:r>
        <w:rPr>
          <w:rFonts w:ascii="Cambria" w:eastAsia="Cambria" w:hAnsi="Cambria" w:cs="Cambria"/>
        </w:rPr>
        <w:t xml:space="preserve">slabé stránky, sformulovať odporúčania a následne implementovať opatrenia smerujúce k optimalizácii posudzovaných procesov. Celkom bolo zistených </w:t>
      </w:r>
      <w:r w:rsidR="0082184F">
        <w:rPr>
          <w:rFonts w:ascii="Cambria" w:eastAsia="Cambria" w:hAnsi="Cambria" w:cs="Cambria"/>
        </w:rPr>
        <w:t>štrnásť</w:t>
      </w:r>
      <w:r>
        <w:rPr>
          <w:rFonts w:ascii="Cambria" w:eastAsia="Cambria" w:hAnsi="Cambria" w:cs="Cambria"/>
        </w:rPr>
        <w:t xml:space="preserve"> nedostatkov:</w:t>
      </w:r>
    </w:p>
    <w:tbl>
      <w:tblPr>
        <w:tblW w:w="0" w:type="auto"/>
        <w:tblInd w:w="108" w:type="dxa"/>
        <w:tblCellMar>
          <w:left w:w="10" w:type="dxa"/>
          <w:right w:w="10" w:type="dxa"/>
        </w:tblCellMar>
        <w:tblLook w:val="04A0" w:firstRow="1" w:lastRow="0" w:firstColumn="1" w:lastColumn="0" w:noHBand="0" w:noVBand="1"/>
      </w:tblPr>
      <w:tblGrid>
        <w:gridCol w:w="2984"/>
        <w:gridCol w:w="2985"/>
        <w:gridCol w:w="2985"/>
      </w:tblGrid>
      <w:tr w:rsidR="0007230F">
        <w:trPr>
          <w:trHeight w:val="1"/>
        </w:trPr>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vysoký stupeň závažnosti</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stredný stupeň závažnosti</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nízky stupeň závažnosti</w:t>
            </w:r>
          </w:p>
        </w:tc>
      </w:tr>
      <w:tr w:rsidR="0007230F">
        <w:trPr>
          <w:trHeight w:val="1"/>
        </w:trPr>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rPr>
              <w:t>3</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rPr>
              <w:t>6</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rPr>
              <w:t>5</w:t>
            </w:r>
          </w:p>
        </w:tc>
      </w:tr>
    </w:tbl>
    <w:p w:rsidR="0007230F" w:rsidRDefault="0007230F">
      <w:pPr>
        <w:jc w:val="both"/>
        <w:rPr>
          <w:rFonts w:ascii="Cambria" w:eastAsia="Cambria" w:hAnsi="Cambria" w:cs="Cambria"/>
          <w:b/>
          <w:i/>
        </w:rPr>
      </w:pPr>
    </w:p>
    <w:p w:rsidR="0007230F" w:rsidRDefault="00EC685E">
      <w:pPr>
        <w:jc w:val="both"/>
        <w:rPr>
          <w:rFonts w:ascii="Cambria" w:eastAsia="Cambria" w:hAnsi="Cambria" w:cs="Cambria"/>
          <w:b/>
          <w:i/>
        </w:rPr>
      </w:pPr>
      <w:r>
        <w:rPr>
          <w:rFonts w:ascii="Cambria" w:eastAsia="Cambria" w:hAnsi="Cambria" w:cs="Cambria"/>
          <w:b/>
          <w:i/>
          <w:u w:val="single"/>
        </w:rPr>
        <w:t>Vnútorný audit č. 2</w:t>
      </w:r>
      <w:r>
        <w:rPr>
          <w:rFonts w:ascii="Cambria" w:eastAsia="Cambria" w:hAnsi="Cambria" w:cs="Cambria"/>
          <w:b/>
          <w:i/>
        </w:rPr>
        <w:t xml:space="preserve">     </w:t>
      </w:r>
    </w:p>
    <w:p w:rsidR="0007230F" w:rsidRDefault="00EC685E">
      <w:pPr>
        <w:jc w:val="both"/>
        <w:rPr>
          <w:rFonts w:ascii="Cambria" w:eastAsia="Cambria" w:hAnsi="Cambria" w:cs="Cambria"/>
        </w:rPr>
      </w:pPr>
      <w:r>
        <w:rPr>
          <w:rFonts w:ascii="Cambria" w:eastAsia="Cambria" w:hAnsi="Cambria" w:cs="Cambria"/>
          <w:b/>
        </w:rPr>
        <w:tab/>
      </w:r>
      <w:r>
        <w:rPr>
          <w:rFonts w:ascii="Cambria" w:eastAsia="Cambria" w:hAnsi="Cambria" w:cs="Cambria"/>
        </w:rPr>
        <w:t>Cieľom vnútorného auditu bolo overiť postup Kancelárie prezidenta Slovenskej republiky a dodržiavanie zásad pre použitie rozpočtových prostriedkov (osobitných výdavkov) v nadväznosti na Výnos Ministerstva financií Slovenskej republiky z  8. marca 2004 č. MF/11251/2004-42 a na internú smernicu o hospodárení s rozpočtovými prostriedkami na reprezentačné a propagačné účely č. 3959-KPSR zo 16. júna 2015. Základnou úlohou Kancelárie prezidenta Slovenskej republiky je zabezpečovať veci spojené s výkonom funkcie prezidenta Slovenskej republiky vyplývajúce z Ústavy Slovenskej republiky, ústavných zákonov ako aj s politickou a</w:t>
      </w:r>
      <w:r w:rsidR="00AA2A30">
        <w:rPr>
          <w:rFonts w:ascii="Cambria" w:eastAsia="Cambria" w:hAnsi="Cambria" w:cs="Cambria"/>
        </w:rPr>
        <w:t xml:space="preserve"> </w:t>
      </w:r>
      <w:r>
        <w:rPr>
          <w:rFonts w:ascii="Cambria" w:eastAsia="Cambria" w:hAnsi="Cambria" w:cs="Cambria"/>
        </w:rPr>
        <w:t xml:space="preserve">verejnou činnosťou prezidenta Slovenskej republiky. Podmienky použitia rozpočtových prostriedkov na reprezentačné a propagačné účely má </w:t>
      </w:r>
      <w:r w:rsidR="00AA2A30">
        <w:rPr>
          <w:rFonts w:ascii="Cambria" w:eastAsia="Cambria" w:hAnsi="Cambria" w:cs="Cambria"/>
        </w:rPr>
        <w:t>k</w:t>
      </w:r>
      <w:r>
        <w:rPr>
          <w:rFonts w:ascii="Cambria" w:eastAsia="Cambria" w:hAnsi="Cambria" w:cs="Cambria"/>
        </w:rPr>
        <w:t xml:space="preserve">ancelária upravené interným aktom riadenia. Základnou zásadou je dodržiavanie maximálnej hospodárnosti, účinnosti, účelnosti a vecnej preukázateľnosti a to výlučne na účely zákona č. 16/1993 Z. z. o kancelárii prezidenta Slovenskej republiky. </w:t>
      </w:r>
      <w:r w:rsidR="0082184F">
        <w:rPr>
          <w:rFonts w:ascii="Cambria" w:eastAsia="Cambria" w:hAnsi="Cambria" w:cs="Cambria"/>
        </w:rPr>
        <w:t xml:space="preserve">Cieľom bolo analyzovať silné a  slabé stránky, sformulovať odporúčania a následne implementovať opatrenia smerujúce k optimalizácii posudzovaných procesov. </w:t>
      </w:r>
      <w:r>
        <w:rPr>
          <w:rFonts w:ascii="Cambria" w:eastAsia="Cambria" w:hAnsi="Cambria" w:cs="Cambria"/>
        </w:rPr>
        <w:t>Celkom bolo zistených osem nedostatkov:</w:t>
      </w:r>
    </w:p>
    <w:tbl>
      <w:tblPr>
        <w:tblStyle w:val="Mriekatabuky"/>
        <w:tblW w:w="0" w:type="auto"/>
        <w:tblLook w:val="04A0" w:firstRow="1" w:lastRow="0" w:firstColumn="1" w:lastColumn="0" w:noHBand="0" w:noVBand="1"/>
      </w:tblPr>
      <w:tblGrid>
        <w:gridCol w:w="3020"/>
        <w:gridCol w:w="3021"/>
        <w:gridCol w:w="3021"/>
      </w:tblGrid>
      <w:tr w:rsidR="00AA2A30" w:rsidRPr="00AA2A30" w:rsidTr="00AA2A30">
        <w:tc>
          <w:tcPr>
            <w:tcW w:w="3020" w:type="dxa"/>
          </w:tcPr>
          <w:p w:rsidR="00AA2A30" w:rsidRPr="00AA2A30" w:rsidRDefault="00AA2A30" w:rsidP="00AA2A30">
            <w:pPr>
              <w:jc w:val="center"/>
              <w:rPr>
                <w:rFonts w:ascii="Cambria" w:eastAsia="Cambria" w:hAnsi="Cambria" w:cs="Cambria"/>
                <w:b/>
                <w:i/>
                <w:sz w:val="20"/>
                <w:szCs w:val="20"/>
              </w:rPr>
            </w:pPr>
            <w:r w:rsidRPr="00AA2A30">
              <w:rPr>
                <w:rFonts w:ascii="Cambria" w:eastAsia="Cambria" w:hAnsi="Cambria" w:cs="Cambria"/>
                <w:b/>
                <w:i/>
                <w:sz w:val="20"/>
                <w:szCs w:val="20"/>
              </w:rPr>
              <w:t>vysoký stupeň závažnosti</w:t>
            </w:r>
          </w:p>
        </w:tc>
        <w:tc>
          <w:tcPr>
            <w:tcW w:w="3021" w:type="dxa"/>
          </w:tcPr>
          <w:p w:rsidR="00AA2A30" w:rsidRPr="00AA2A30" w:rsidRDefault="00AA2A30" w:rsidP="00AA2A30">
            <w:pPr>
              <w:jc w:val="center"/>
              <w:rPr>
                <w:rFonts w:ascii="Cambria" w:eastAsia="Cambria" w:hAnsi="Cambria" w:cs="Cambria"/>
                <w:b/>
                <w:i/>
                <w:sz w:val="20"/>
                <w:szCs w:val="20"/>
              </w:rPr>
            </w:pPr>
            <w:r w:rsidRPr="00AA2A30">
              <w:rPr>
                <w:rFonts w:ascii="Cambria" w:eastAsia="Cambria" w:hAnsi="Cambria" w:cs="Cambria"/>
                <w:b/>
                <w:i/>
                <w:sz w:val="20"/>
                <w:szCs w:val="20"/>
              </w:rPr>
              <w:t>stredný stupeň závažnosti</w:t>
            </w:r>
          </w:p>
        </w:tc>
        <w:tc>
          <w:tcPr>
            <w:tcW w:w="3021" w:type="dxa"/>
          </w:tcPr>
          <w:p w:rsidR="00AA2A30" w:rsidRPr="00AA2A30" w:rsidRDefault="00AA2A30" w:rsidP="00AA2A30">
            <w:pPr>
              <w:jc w:val="center"/>
              <w:rPr>
                <w:rFonts w:ascii="Cambria" w:eastAsia="Cambria" w:hAnsi="Cambria" w:cs="Cambria"/>
                <w:b/>
                <w:i/>
                <w:sz w:val="20"/>
                <w:szCs w:val="20"/>
              </w:rPr>
            </w:pPr>
            <w:r w:rsidRPr="00AA2A30">
              <w:rPr>
                <w:rFonts w:ascii="Cambria" w:eastAsia="Cambria" w:hAnsi="Cambria" w:cs="Cambria"/>
                <w:b/>
                <w:i/>
                <w:sz w:val="20"/>
                <w:szCs w:val="20"/>
              </w:rPr>
              <w:t>nízky stupeň závažnosti</w:t>
            </w:r>
          </w:p>
        </w:tc>
      </w:tr>
      <w:tr w:rsidR="00AA2A30" w:rsidRPr="00AA2A30" w:rsidTr="00AA2A30">
        <w:tc>
          <w:tcPr>
            <w:tcW w:w="3020" w:type="dxa"/>
          </w:tcPr>
          <w:p w:rsidR="00AA2A30" w:rsidRPr="00AA2A30" w:rsidRDefault="00AA2A30" w:rsidP="00AA2A30">
            <w:pPr>
              <w:jc w:val="center"/>
              <w:rPr>
                <w:rFonts w:ascii="Cambria" w:eastAsia="Cambria" w:hAnsi="Cambria" w:cs="Cambria"/>
                <w:b/>
                <w:i/>
              </w:rPr>
            </w:pPr>
            <w:r w:rsidRPr="00AA2A30">
              <w:rPr>
                <w:rFonts w:ascii="Cambria" w:eastAsia="Cambria" w:hAnsi="Cambria" w:cs="Cambria"/>
                <w:b/>
                <w:i/>
              </w:rPr>
              <w:t>0</w:t>
            </w:r>
          </w:p>
        </w:tc>
        <w:tc>
          <w:tcPr>
            <w:tcW w:w="3021" w:type="dxa"/>
          </w:tcPr>
          <w:p w:rsidR="00AA2A30" w:rsidRPr="00AA2A30" w:rsidRDefault="00AA2A30" w:rsidP="00AA2A30">
            <w:pPr>
              <w:jc w:val="center"/>
              <w:rPr>
                <w:rFonts w:ascii="Cambria" w:eastAsia="Cambria" w:hAnsi="Cambria" w:cs="Cambria"/>
                <w:b/>
                <w:i/>
              </w:rPr>
            </w:pPr>
            <w:r w:rsidRPr="00AA2A30">
              <w:rPr>
                <w:rFonts w:ascii="Cambria" w:eastAsia="Cambria" w:hAnsi="Cambria" w:cs="Cambria"/>
                <w:b/>
                <w:i/>
              </w:rPr>
              <w:t>6</w:t>
            </w:r>
          </w:p>
        </w:tc>
        <w:tc>
          <w:tcPr>
            <w:tcW w:w="3021" w:type="dxa"/>
          </w:tcPr>
          <w:p w:rsidR="00AA2A30" w:rsidRPr="00AA2A30" w:rsidRDefault="00AA2A30" w:rsidP="00AA2A30">
            <w:pPr>
              <w:jc w:val="center"/>
              <w:rPr>
                <w:rFonts w:ascii="Cambria" w:eastAsia="Cambria" w:hAnsi="Cambria" w:cs="Cambria"/>
                <w:b/>
                <w:i/>
              </w:rPr>
            </w:pPr>
            <w:r w:rsidRPr="00AA2A30">
              <w:rPr>
                <w:rFonts w:ascii="Cambria" w:eastAsia="Cambria" w:hAnsi="Cambria" w:cs="Cambria"/>
                <w:b/>
                <w:i/>
              </w:rPr>
              <w:t>2</w:t>
            </w:r>
          </w:p>
        </w:tc>
      </w:tr>
    </w:tbl>
    <w:p w:rsidR="0007230F" w:rsidRPr="00AA2A30" w:rsidRDefault="0007230F" w:rsidP="00AA2A30">
      <w:pPr>
        <w:jc w:val="center"/>
        <w:rPr>
          <w:rFonts w:ascii="Cambria" w:eastAsia="Cambria" w:hAnsi="Cambria" w:cs="Cambria"/>
          <w:b/>
          <w:i/>
        </w:rPr>
      </w:pPr>
    </w:p>
    <w:p w:rsidR="0007230F" w:rsidRDefault="00EC685E">
      <w:pPr>
        <w:jc w:val="both"/>
        <w:rPr>
          <w:rFonts w:ascii="Cambria" w:eastAsia="Cambria" w:hAnsi="Cambria" w:cs="Cambria"/>
          <w:b/>
          <w:i/>
          <w:u w:val="single"/>
        </w:rPr>
      </w:pPr>
      <w:r>
        <w:rPr>
          <w:rFonts w:ascii="Cambria" w:eastAsia="Cambria" w:hAnsi="Cambria" w:cs="Cambria"/>
          <w:b/>
          <w:i/>
          <w:u w:val="single"/>
        </w:rPr>
        <w:t xml:space="preserve">Vnútorný audit č. 3 </w:t>
      </w:r>
    </w:p>
    <w:p w:rsidR="0082184F" w:rsidRDefault="00EC685E">
      <w:pPr>
        <w:jc w:val="both"/>
        <w:rPr>
          <w:rFonts w:ascii="Cambria" w:eastAsia="Cambria" w:hAnsi="Cambria" w:cs="Cambria"/>
        </w:rPr>
      </w:pPr>
      <w:r>
        <w:rPr>
          <w:rFonts w:ascii="Cambria" w:eastAsia="Cambria" w:hAnsi="Cambria" w:cs="Cambria"/>
        </w:rPr>
        <w:tab/>
        <w:t>Cieľom vnútorného auditu bolo overiť aplikáciu zákona č. 283/2002 Z. z. o cestovných náhradách v znení neskorších predpisov a internej smernice o poskytovaní náhrad pri tuzemskej a zahraničnej pracovnej ceste v </w:t>
      </w:r>
      <w:r w:rsidR="00AA2A30">
        <w:rPr>
          <w:rFonts w:ascii="Cambria" w:eastAsia="Cambria" w:hAnsi="Cambria" w:cs="Cambria"/>
        </w:rPr>
        <w:t xml:space="preserve"> </w:t>
      </w:r>
      <w:r>
        <w:rPr>
          <w:rFonts w:ascii="Cambria" w:eastAsia="Cambria" w:hAnsi="Cambria" w:cs="Cambria"/>
        </w:rPr>
        <w:t>praxi, analyzovať potenciálne riziká a </w:t>
      </w:r>
      <w:r w:rsidR="00AA2A30">
        <w:rPr>
          <w:rFonts w:ascii="Cambria" w:eastAsia="Cambria" w:hAnsi="Cambria" w:cs="Cambria"/>
        </w:rPr>
        <w:t xml:space="preserve"> </w:t>
      </w:r>
      <w:r>
        <w:rPr>
          <w:rFonts w:ascii="Cambria" w:eastAsia="Cambria" w:hAnsi="Cambria" w:cs="Cambria"/>
        </w:rPr>
        <w:t xml:space="preserve">osobitosti pri plnení pracovných úloh zamestnancov kancelárie. </w:t>
      </w:r>
      <w:r w:rsidR="0082184F">
        <w:rPr>
          <w:rFonts w:ascii="Cambria" w:eastAsia="Cambria" w:hAnsi="Cambria" w:cs="Cambria"/>
        </w:rPr>
        <w:t xml:space="preserve">Cieľom bolo analyzovať silné a  slabé stránky, sformulovať odporúčania a následne implementovať opatrenia smerujúce k optimalizácii posudzovaných procesov. </w:t>
      </w:r>
      <w:r>
        <w:rPr>
          <w:rFonts w:ascii="Cambria" w:eastAsia="Cambria" w:hAnsi="Cambria" w:cs="Cambria"/>
        </w:rPr>
        <w:t>Celkom bolo zistených päť nedostatkov:</w:t>
      </w:r>
    </w:p>
    <w:tbl>
      <w:tblPr>
        <w:tblW w:w="0" w:type="auto"/>
        <w:tblInd w:w="108" w:type="dxa"/>
        <w:tblCellMar>
          <w:left w:w="10" w:type="dxa"/>
          <w:right w:w="10" w:type="dxa"/>
        </w:tblCellMar>
        <w:tblLook w:val="04A0" w:firstRow="1" w:lastRow="0" w:firstColumn="1" w:lastColumn="0" w:noHBand="0" w:noVBand="1"/>
      </w:tblPr>
      <w:tblGrid>
        <w:gridCol w:w="2984"/>
        <w:gridCol w:w="2985"/>
        <w:gridCol w:w="2985"/>
      </w:tblGrid>
      <w:tr w:rsidR="0007230F">
        <w:trPr>
          <w:trHeight w:val="1"/>
        </w:trPr>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vysoký stupeň závažnosti</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stredný stupeň závažnosti</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nízky stupeň závažnosti</w:t>
            </w:r>
          </w:p>
        </w:tc>
      </w:tr>
      <w:tr w:rsidR="0007230F">
        <w:trPr>
          <w:trHeight w:val="1"/>
        </w:trPr>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rPr>
              <w:t>2</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rPr>
              <w:t>2</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rPr>
              <w:t>1</w:t>
            </w:r>
          </w:p>
        </w:tc>
      </w:tr>
    </w:tbl>
    <w:p w:rsidR="0082184F" w:rsidRDefault="0082184F">
      <w:pPr>
        <w:jc w:val="both"/>
        <w:rPr>
          <w:rFonts w:ascii="Cambria" w:eastAsia="Cambria" w:hAnsi="Cambria" w:cs="Cambria"/>
          <w:b/>
          <w:i/>
          <w:u w:val="single"/>
        </w:rPr>
      </w:pPr>
    </w:p>
    <w:p w:rsidR="003E1C0A" w:rsidRDefault="003E1C0A">
      <w:pPr>
        <w:jc w:val="both"/>
        <w:rPr>
          <w:rFonts w:ascii="Cambria" w:eastAsia="Cambria" w:hAnsi="Cambria" w:cs="Cambria"/>
          <w:b/>
          <w:i/>
          <w:u w:val="single"/>
        </w:rPr>
      </w:pPr>
    </w:p>
    <w:p w:rsidR="003E1C0A" w:rsidRDefault="003E1C0A">
      <w:pPr>
        <w:jc w:val="both"/>
        <w:rPr>
          <w:rFonts w:ascii="Cambria" w:eastAsia="Cambria" w:hAnsi="Cambria" w:cs="Cambria"/>
          <w:b/>
          <w:i/>
          <w:u w:val="single"/>
        </w:rPr>
      </w:pPr>
    </w:p>
    <w:p w:rsidR="003E1C0A" w:rsidRDefault="003E1C0A">
      <w:pPr>
        <w:jc w:val="both"/>
        <w:rPr>
          <w:rFonts w:ascii="Cambria" w:eastAsia="Cambria" w:hAnsi="Cambria" w:cs="Cambria"/>
          <w:b/>
          <w:i/>
          <w:u w:val="single"/>
        </w:rPr>
      </w:pPr>
      <w:bookmarkStart w:id="0" w:name="_GoBack"/>
      <w:bookmarkEnd w:id="0"/>
    </w:p>
    <w:p w:rsidR="0007230F" w:rsidRDefault="00EC685E">
      <w:pPr>
        <w:jc w:val="both"/>
        <w:rPr>
          <w:rFonts w:ascii="Cambria" w:eastAsia="Cambria" w:hAnsi="Cambria" w:cs="Cambria"/>
          <w:b/>
          <w:i/>
          <w:u w:val="single"/>
        </w:rPr>
      </w:pPr>
      <w:r>
        <w:rPr>
          <w:rFonts w:ascii="Cambria" w:eastAsia="Cambria" w:hAnsi="Cambria" w:cs="Cambria"/>
          <w:b/>
          <w:i/>
          <w:u w:val="single"/>
        </w:rPr>
        <w:lastRenderedPageBreak/>
        <w:t xml:space="preserve">Vnútorný audit č. 4 </w:t>
      </w:r>
    </w:p>
    <w:p w:rsidR="0007230F" w:rsidRDefault="00EC685E">
      <w:pPr>
        <w:ind w:firstLine="708"/>
        <w:jc w:val="both"/>
        <w:rPr>
          <w:rFonts w:ascii="Cambria" w:eastAsia="Cambria" w:hAnsi="Cambria" w:cs="Cambria"/>
        </w:rPr>
      </w:pPr>
      <w:r>
        <w:rPr>
          <w:rFonts w:ascii="Cambria" w:eastAsia="Cambria" w:hAnsi="Cambria" w:cs="Cambria"/>
        </w:rPr>
        <w:t xml:space="preserve">Cieľom vnútorného auditu bolo overiť zriadenia, úlohy a postup činnosti škodovej komisie  kancelárie prezidenta Slovenskej republiky pri uplatňovaní zodpovednosti za vzniknutú škodu a určovanie rozsahu a spôsobu jej náhrady a postup pri uplatňovaní práva kancelárie prezidenta Slovenskej republiky ako zamestnávateľa pri náhrade škody voči zodpovedným zamestnancom, ktorí škodu spôsobili porušením povinností pri plnení pracovných úloh alebo v priamej súvislosti s nimi, úmyselným konaním proti dobrým mravom podľa § 179 ods. 2 </w:t>
      </w:r>
      <w:r w:rsidR="006A7F79">
        <w:rPr>
          <w:rFonts w:ascii="Cambria" w:eastAsia="Cambria" w:hAnsi="Cambria" w:cs="Cambria"/>
        </w:rPr>
        <w:t>Z</w:t>
      </w:r>
      <w:r>
        <w:rPr>
          <w:rFonts w:ascii="Cambria" w:eastAsia="Cambria" w:hAnsi="Cambria" w:cs="Cambria"/>
        </w:rPr>
        <w:t>ákonníka práce. Na základe overenej dokumentácie boli identifikované riziká a odporúčané opatrenia na nápravu. Celkom boli zistené tri nedostatky:</w:t>
      </w:r>
    </w:p>
    <w:tbl>
      <w:tblPr>
        <w:tblStyle w:val="Mriekatabuky"/>
        <w:tblW w:w="0" w:type="auto"/>
        <w:tblLook w:val="04A0" w:firstRow="1" w:lastRow="0" w:firstColumn="1" w:lastColumn="0" w:noHBand="0" w:noVBand="1"/>
      </w:tblPr>
      <w:tblGrid>
        <w:gridCol w:w="3020"/>
        <w:gridCol w:w="3021"/>
        <w:gridCol w:w="3021"/>
      </w:tblGrid>
      <w:tr w:rsidR="006A7F79" w:rsidTr="006A7F79">
        <w:tc>
          <w:tcPr>
            <w:tcW w:w="3020" w:type="dxa"/>
          </w:tcPr>
          <w:p w:rsidR="006A7F79" w:rsidRPr="006A7F79" w:rsidRDefault="006A7F79" w:rsidP="006A7F79">
            <w:pPr>
              <w:jc w:val="center"/>
              <w:rPr>
                <w:rFonts w:ascii="Cambria" w:eastAsia="Cambria" w:hAnsi="Cambria" w:cs="Cambria"/>
                <w:i/>
              </w:rPr>
            </w:pPr>
            <w:r w:rsidRPr="006A7F79">
              <w:rPr>
                <w:rFonts w:ascii="Cambria" w:eastAsia="Cambria" w:hAnsi="Cambria" w:cs="Cambria"/>
                <w:b/>
                <w:i/>
                <w:sz w:val="20"/>
              </w:rPr>
              <w:t>vysoký stupeň závažnosti</w:t>
            </w:r>
          </w:p>
        </w:tc>
        <w:tc>
          <w:tcPr>
            <w:tcW w:w="3021" w:type="dxa"/>
          </w:tcPr>
          <w:p w:rsidR="006A7F79" w:rsidRPr="006A7F79" w:rsidRDefault="006A7F79" w:rsidP="006A7F79">
            <w:pPr>
              <w:jc w:val="center"/>
              <w:rPr>
                <w:rFonts w:ascii="Cambria" w:eastAsia="Cambria" w:hAnsi="Cambria" w:cs="Cambria"/>
                <w:i/>
              </w:rPr>
            </w:pPr>
            <w:r w:rsidRPr="006A7F79">
              <w:rPr>
                <w:rFonts w:ascii="Cambria" w:eastAsia="Cambria" w:hAnsi="Cambria" w:cs="Cambria"/>
                <w:b/>
                <w:i/>
                <w:sz w:val="20"/>
              </w:rPr>
              <w:t>stredný stupeň závažnosti</w:t>
            </w:r>
          </w:p>
        </w:tc>
        <w:tc>
          <w:tcPr>
            <w:tcW w:w="3021" w:type="dxa"/>
          </w:tcPr>
          <w:p w:rsidR="006A7F79" w:rsidRPr="006A7F79" w:rsidRDefault="006A7F79" w:rsidP="006A7F79">
            <w:pPr>
              <w:jc w:val="center"/>
              <w:rPr>
                <w:rFonts w:ascii="Cambria" w:eastAsia="Cambria" w:hAnsi="Cambria" w:cs="Cambria"/>
                <w:i/>
              </w:rPr>
            </w:pPr>
            <w:r w:rsidRPr="006A7F79">
              <w:rPr>
                <w:rFonts w:ascii="Cambria" w:eastAsia="Cambria" w:hAnsi="Cambria" w:cs="Cambria"/>
                <w:b/>
                <w:i/>
                <w:sz w:val="20"/>
              </w:rPr>
              <w:t>nízky stupeň závažnosti</w:t>
            </w:r>
          </w:p>
        </w:tc>
      </w:tr>
      <w:tr w:rsidR="006A7F79" w:rsidTr="006A7F79">
        <w:tc>
          <w:tcPr>
            <w:tcW w:w="3020" w:type="dxa"/>
          </w:tcPr>
          <w:p w:rsidR="006A7F79" w:rsidRPr="006A7F79" w:rsidRDefault="006A7F79" w:rsidP="006A7F79">
            <w:pPr>
              <w:jc w:val="center"/>
              <w:rPr>
                <w:rFonts w:ascii="Cambria" w:eastAsia="Cambria" w:hAnsi="Cambria" w:cs="Cambria"/>
                <w:i/>
              </w:rPr>
            </w:pPr>
            <w:r w:rsidRPr="006A7F79">
              <w:rPr>
                <w:rFonts w:ascii="Cambria" w:eastAsia="Cambria" w:hAnsi="Cambria" w:cs="Cambria"/>
                <w:i/>
              </w:rPr>
              <w:t>1</w:t>
            </w:r>
          </w:p>
        </w:tc>
        <w:tc>
          <w:tcPr>
            <w:tcW w:w="3021" w:type="dxa"/>
          </w:tcPr>
          <w:p w:rsidR="006A7F79" w:rsidRPr="006A7F79" w:rsidRDefault="006A7F79" w:rsidP="006A7F79">
            <w:pPr>
              <w:jc w:val="center"/>
              <w:rPr>
                <w:rFonts w:ascii="Cambria" w:eastAsia="Cambria" w:hAnsi="Cambria" w:cs="Cambria"/>
                <w:i/>
              </w:rPr>
            </w:pPr>
            <w:r w:rsidRPr="006A7F79">
              <w:rPr>
                <w:rFonts w:ascii="Cambria" w:eastAsia="Cambria" w:hAnsi="Cambria" w:cs="Cambria"/>
                <w:i/>
              </w:rPr>
              <w:t>1</w:t>
            </w:r>
          </w:p>
        </w:tc>
        <w:tc>
          <w:tcPr>
            <w:tcW w:w="3021" w:type="dxa"/>
          </w:tcPr>
          <w:p w:rsidR="006A7F79" w:rsidRPr="006A7F79" w:rsidRDefault="006A7F79" w:rsidP="006A7F79">
            <w:pPr>
              <w:jc w:val="center"/>
              <w:rPr>
                <w:rFonts w:ascii="Cambria" w:eastAsia="Cambria" w:hAnsi="Cambria" w:cs="Cambria"/>
                <w:i/>
              </w:rPr>
            </w:pPr>
            <w:r w:rsidRPr="006A7F79">
              <w:rPr>
                <w:rFonts w:ascii="Cambria" w:eastAsia="Cambria" w:hAnsi="Cambria" w:cs="Cambria"/>
                <w:i/>
              </w:rPr>
              <w:t>1</w:t>
            </w:r>
          </w:p>
        </w:tc>
      </w:tr>
    </w:tbl>
    <w:p w:rsidR="006A7F79" w:rsidRDefault="006A7F79" w:rsidP="006A7F79">
      <w:pPr>
        <w:jc w:val="both"/>
        <w:rPr>
          <w:rFonts w:ascii="Cambria" w:eastAsia="Cambria" w:hAnsi="Cambria" w:cs="Cambria"/>
        </w:rPr>
      </w:pPr>
    </w:p>
    <w:p w:rsidR="0007230F" w:rsidRDefault="00EC685E">
      <w:pPr>
        <w:jc w:val="both"/>
        <w:rPr>
          <w:rFonts w:ascii="Cambria" w:eastAsia="Cambria" w:hAnsi="Cambria" w:cs="Cambria"/>
          <w:i/>
          <w:u w:val="single"/>
        </w:rPr>
      </w:pPr>
      <w:r>
        <w:rPr>
          <w:rFonts w:ascii="Cambria" w:eastAsia="Cambria" w:hAnsi="Cambria" w:cs="Cambria"/>
          <w:b/>
          <w:i/>
          <w:u w:val="single"/>
        </w:rPr>
        <w:t xml:space="preserve">Vnútorný audit č. 5 </w:t>
      </w:r>
    </w:p>
    <w:p w:rsidR="0007230F" w:rsidRDefault="00EC685E">
      <w:pPr>
        <w:ind w:firstLine="708"/>
        <w:jc w:val="both"/>
        <w:rPr>
          <w:rFonts w:ascii="Cambria" w:eastAsia="Cambria" w:hAnsi="Cambria" w:cs="Cambria"/>
        </w:rPr>
      </w:pPr>
      <w:r>
        <w:rPr>
          <w:rFonts w:ascii="Cambria" w:eastAsia="Cambria" w:hAnsi="Cambria" w:cs="Cambria"/>
        </w:rPr>
        <w:t>Cieľom vnútorného auditu bolo zhodnotiť plnenie úloh Kancelárie prezidenta Slovenskej republiky v oblasti bezpečnosti zdravia pri práci, dodržiavanie všeobecných zásad prevencie a základných podmienok na zaistenie a vylúčenie rizík a </w:t>
      </w:r>
      <w:r w:rsidR="001D0E27">
        <w:rPr>
          <w:rFonts w:ascii="Cambria" w:eastAsia="Cambria" w:hAnsi="Cambria" w:cs="Cambria"/>
        </w:rPr>
        <w:t xml:space="preserve"> </w:t>
      </w:r>
      <w:r>
        <w:rPr>
          <w:rFonts w:ascii="Cambria" w:eastAsia="Cambria" w:hAnsi="Cambria" w:cs="Cambria"/>
        </w:rPr>
        <w:t xml:space="preserve">faktorov podmieňujúcich vznik pracovných úrazov, ako aj podmienok na ochranu života a zdravia zamestnancov, majetku a životného prostredia pred požiarmi.  Poskytovanie pracovnej zdravotnej služby má </w:t>
      </w:r>
      <w:r w:rsidR="001D0E27">
        <w:rPr>
          <w:rFonts w:ascii="Cambria" w:eastAsia="Cambria" w:hAnsi="Cambria" w:cs="Cambria"/>
        </w:rPr>
        <w:t>k</w:t>
      </w:r>
      <w:r>
        <w:rPr>
          <w:rFonts w:ascii="Cambria" w:eastAsia="Cambria" w:hAnsi="Cambria" w:cs="Cambria"/>
        </w:rPr>
        <w:t xml:space="preserve">ancelária zabezpečené dodávateľským spôsobom (vykonávanie zdravotného dohľadu podľa zákona č. 355/2007 Z. z. ). </w:t>
      </w:r>
      <w:r w:rsidR="0082184F">
        <w:rPr>
          <w:rFonts w:ascii="Cambria" w:eastAsia="Cambria" w:hAnsi="Cambria" w:cs="Cambria"/>
        </w:rPr>
        <w:t>Cieľom bolo analyzovať silné a  slabé stránky, sformulovať odporúčania a následne implementovať opatrenia smerujúce k optimalizácii posudzovaných procesov.</w:t>
      </w:r>
    </w:p>
    <w:tbl>
      <w:tblPr>
        <w:tblW w:w="0" w:type="auto"/>
        <w:tblInd w:w="108" w:type="dxa"/>
        <w:tblCellMar>
          <w:left w:w="10" w:type="dxa"/>
          <w:right w:w="10" w:type="dxa"/>
        </w:tblCellMar>
        <w:tblLook w:val="04A0" w:firstRow="1" w:lastRow="0" w:firstColumn="1" w:lastColumn="0" w:noHBand="0" w:noVBand="1"/>
      </w:tblPr>
      <w:tblGrid>
        <w:gridCol w:w="2984"/>
        <w:gridCol w:w="2985"/>
        <w:gridCol w:w="2985"/>
      </w:tblGrid>
      <w:tr w:rsidR="0007230F">
        <w:trPr>
          <w:trHeight w:val="1"/>
        </w:trPr>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vysoký stupeň závažnosti</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stredný stupeň závažnosti</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nízky stupeň závažnosti</w:t>
            </w:r>
          </w:p>
        </w:tc>
      </w:tr>
      <w:tr w:rsidR="0007230F">
        <w:trPr>
          <w:trHeight w:val="1"/>
        </w:trPr>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2</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sz w:val="20"/>
              </w:rPr>
              <w:t>0</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30F" w:rsidRDefault="00EC685E">
            <w:pPr>
              <w:spacing w:after="0" w:line="240" w:lineRule="auto"/>
              <w:jc w:val="center"/>
            </w:pPr>
            <w:r>
              <w:rPr>
                <w:rFonts w:ascii="Cambria" w:eastAsia="Cambria" w:hAnsi="Cambria" w:cs="Cambria"/>
                <w:b/>
                <w:i/>
              </w:rPr>
              <w:t>0</w:t>
            </w:r>
          </w:p>
        </w:tc>
      </w:tr>
    </w:tbl>
    <w:p w:rsidR="0007230F" w:rsidRDefault="0007230F" w:rsidP="0082184F">
      <w:pPr>
        <w:jc w:val="both"/>
        <w:rPr>
          <w:rFonts w:ascii="Cambria" w:eastAsia="Cambria" w:hAnsi="Cambria" w:cs="Cambria"/>
        </w:rPr>
      </w:pPr>
    </w:p>
    <w:p w:rsidR="0007230F" w:rsidRDefault="00EC685E">
      <w:pPr>
        <w:rPr>
          <w:rFonts w:ascii="Cambria" w:eastAsia="Cambria" w:hAnsi="Cambria" w:cs="Cambria"/>
          <w:b/>
          <w:i/>
          <w:u w:val="single"/>
        </w:rPr>
      </w:pPr>
      <w:r>
        <w:rPr>
          <w:rFonts w:ascii="Cambria" w:eastAsia="Cambria" w:hAnsi="Cambria" w:cs="Cambria"/>
          <w:b/>
          <w:i/>
          <w:u w:val="single"/>
        </w:rPr>
        <w:t>Vnútorný audit č. 6</w:t>
      </w:r>
    </w:p>
    <w:p w:rsidR="0007230F" w:rsidRDefault="00EC685E">
      <w:pPr>
        <w:jc w:val="both"/>
        <w:rPr>
          <w:rFonts w:ascii="Cambria" w:eastAsia="Cambria" w:hAnsi="Cambria" w:cs="Cambria"/>
        </w:rPr>
      </w:pPr>
      <w:r>
        <w:rPr>
          <w:rFonts w:ascii="Cambria" w:eastAsia="Cambria" w:hAnsi="Cambria" w:cs="Cambria"/>
        </w:rPr>
        <w:tab/>
        <w:t>Cieľom monitoringu odporúčaných opatrení z vykonaných vnútorných auditov v roku 2016 bolo overiť ich akcep</w:t>
      </w:r>
      <w:r w:rsidR="001D0E27">
        <w:rPr>
          <w:rFonts w:ascii="Cambria" w:eastAsia="Cambria" w:hAnsi="Cambria" w:cs="Cambria"/>
        </w:rPr>
        <w:t>t</w:t>
      </w:r>
      <w:r>
        <w:rPr>
          <w:rFonts w:ascii="Cambria" w:eastAsia="Cambria" w:hAnsi="Cambria" w:cs="Cambria"/>
        </w:rPr>
        <w:t xml:space="preserve">áciu, plnenie a prínos zavedenia vnútorného auditu do organizačnej štruktúry </w:t>
      </w:r>
      <w:r w:rsidR="001D0E27">
        <w:rPr>
          <w:rFonts w:ascii="Cambria" w:eastAsia="Cambria" w:hAnsi="Cambria" w:cs="Cambria"/>
        </w:rPr>
        <w:t>k</w:t>
      </w:r>
      <w:r>
        <w:rPr>
          <w:rFonts w:ascii="Cambria" w:eastAsia="Cambria" w:hAnsi="Cambria" w:cs="Cambria"/>
        </w:rPr>
        <w:t>ancelárie</w:t>
      </w:r>
      <w:r w:rsidR="001D0E27">
        <w:rPr>
          <w:rFonts w:ascii="Cambria" w:eastAsia="Cambria" w:hAnsi="Cambria" w:cs="Cambria"/>
        </w:rPr>
        <w:t>.</w:t>
      </w:r>
      <w:r>
        <w:rPr>
          <w:rFonts w:ascii="Cambria" w:eastAsia="Cambria" w:hAnsi="Cambria" w:cs="Cambria"/>
        </w:rPr>
        <w:t xml:space="preserve"> Zameraný bol na oblasť verejného obstarávania, správu majetku</w:t>
      </w:r>
      <w:r w:rsidR="001D0E27">
        <w:rPr>
          <w:rFonts w:ascii="Cambria" w:eastAsia="Cambria" w:hAnsi="Cambria" w:cs="Cambria"/>
        </w:rPr>
        <w:t xml:space="preserve"> </w:t>
      </w:r>
      <w:r>
        <w:rPr>
          <w:rFonts w:ascii="Cambria" w:eastAsia="Cambria" w:hAnsi="Cambria" w:cs="Cambria"/>
        </w:rPr>
        <w:t>štátu a vnútorný kontrolný systém. Na základe overenej vzorky dokumentácie verejného obstarávania boli opakovane zistené formálne nedostatky, ktoré boli počas výkonu vnútorného auditu odstránené. Porušenie základných princípov vo verejnom obstarávaní zistené nebolo. Prijaté opatrenia na úseku správy majetku štátu sa priebežne plnia, v čase vykonávania monitoringu prebiehala inventarizácia majetku, záväzkov a rozdielu majetku a záv</w:t>
      </w:r>
      <w:r w:rsidR="001D0E27">
        <w:rPr>
          <w:rFonts w:ascii="Cambria" w:eastAsia="Cambria" w:hAnsi="Cambria" w:cs="Cambria"/>
        </w:rPr>
        <w:t>ä</w:t>
      </w:r>
      <w:r>
        <w:rPr>
          <w:rFonts w:ascii="Cambria" w:eastAsia="Cambria" w:hAnsi="Cambria" w:cs="Cambria"/>
        </w:rPr>
        <w:t>zkov k 31.</w:t>
      </w:r>
      <w:r w:rsidR="001D0E27">
        <w:rPr>
          <w:rFonts w:ascii="Cambria" w:eastAsia="Cambria" w:hAnsi="Cambria" w:cs="Cambria"/>
        </w:rPr>
        <w:t xml:space="preserve"> decembru</w:t>
      </w:r>
      <w:r>
        <w:rPr>
          <w:rFonts w:ascii="Cambria" w:eastAsia="Cambria" w:hAnsi="Cambria" w:cs="Cambria"/>
        </w:rPr>
        <w:t xml:space="preserve"> 2017. Monitoring poskytol spätnú väzbu o stave overovanej agendy, procesov v nej prebiehajúcich, ktoré boli v súlade s legislatívou a internými predpismi. Na základe vykonaných testov kontroly bol hodnotený vnútorný kontrolný systém. Rizikové faktory a identifikované riziká boli v hodnotenom období postupne eliminované. Riadiace a kontrolné mechanizmy sú preventívne, zisťovacie a regulačné, tvoria koncepčný systém zameraný na dosiahnutie </w:t>
      </w:r>
      <w:r w:rsidR="001D0E27">
        <w:rPr>
          <w:rFonts w:ascii="Cambria" w:eastAsia="Cambria" w:hAnsi="Cambria" w:cs="Cambria"/>
        </w:rPr>
        <w:t xml:space="preserve">základných </w:t>
      </w:r>
      <w:r>
        <w:rPr>
          <w:rFonts w:ascii="Cambria" w:eastAsia="Cambria" w:hAnsi="Cambria" w:cs="Cambria"/>
        </w:rPr>
        <w:t>cieľov kancelárie</w:t>
      </w:r>
      <w:r w:rsidR="001D0E27">
        <w:rPr>
          <w:rFonts w:ascii="Cambria" w:eastAsia="Cambria" w:hAnsi="Cambria" w:cs="Cambria"/>
        </w:rPr>
        <w:t xml:space="preserve"> ako účtovnej jednotky.</w:t>
      </w:r>
    </w:p>
    <w:p w:rsidR="0007230F" w:rsidRDefault="0082184F">
      <w:pPr>
        <w:jc w:val="both"/>
        <w:rPr>
          <w:rFonts w:ascii="Cambria" w:eastAsia="Cambria" w:hAnsi="Cambria" w:cs="Cambria"/>
          <w:b/>
          <w:i/>
          <w:u w:val="single"/>
        </w:rPr>
      </w:pPr>
      <w:r>
        <w:rPr>
          <w:rFonts w:ascii="Cambria" w:eastAsia="Cambria" w:hAnsi="Cambria" w:cs="Cambria"/>
          <w:b/>
          <w:i/>
          <w:u w:val="single"/>
        </w:rPr>
        <w:t>Vnútorný audit č. 7</w:t>
      </w:r>
    </w:p>
    <w:p w:rsidR="0007230F" w:rsidRDefault="00EC685E" w:rsidP="001D0E27">
      <w:pPr>
        <w:ind w:firstLine="708"/>
        <w:jc w:val="both"/>
        <w:rPr>
          <w:rFonts w:ascii="Cambria" w:eastAsia="Cambria" w:hAnsi="Cambria" w:cs="Cambria"/>
        </w:rPr>
      </w:pPr>
      <w:r>
        <w:rPr>
          <w:rFonts w:ascii="Cambria" w:eastAsia="Cambria" w:hAnsi="Cambria" w:cs="Cambria"/>
        </w:rPr>
        <w:t xml:space="preserve">Na základe metódy, ktorú si </w:t>
      </w:r>
      <w:r w:rsidR="001D0E27">
        <w:rPr>
          <w:rFonts w:ascii="Cambria" w:eastAsia="Cambria" w:hAnsi="Cambria" w:cs="Cambria"/>
        </w:rPr>
        <w:t>k</w:t>
      </w:r>
      <w:r>
        <w:rPr>
          <w:rFonts w:ascii="Cambria" w:eastAsia="Cambria" w:hAnsi="Cambria" w:cs="Cambria"/>
        </w:rPr>
        <w:t xml:space="preserve">ancelária stanovila, boli analyzované rizikové oblasti činnosti a stanovený aktuálny stupeň potenciálnych rizík. </w:t>
      </w:r>
      <w:r w:rsidR="001D0E27">
        <w:rPr>
          <w:rFonts w:ascii="Cambria" w:eastAsia="Cambria" w:hAnsi="Cambria" w:cs="Cambria"/>
        </w:rPr>
        <w:t>Spracovaná</w:t>
      </w:r>
      <w:r>
        <w:rPr>
          <w:rFonts w:ascii="Cambria" w:eastAsia="Cambria" w:hAnsi="Cambria" w:cs="Cambria"/>
        </w:rPr>
        <w:t xml:space="preserve"> bola mapa</w:t>
      </w:r>
      <w:r w:rsidR="001D0E27">
        <w:rPr>
          <w:rFonts w:ascii="Cambria" w:eastAsia="Cambria" w:hAnsi="Cambria" w:cs="Cambria"/>
        </w:rPr>
        <w:t xml:space="preserve"> </w:t>
      </w:r>
      <w:r>
        <w:rPr>
          <w:rFonts w:ascii="Cambria" w:eastAsia="Cambria" w:hAnsi="Cambria" w:cs="Cambria"/>
        </w:rPr>
        <w:t xml:space="preserve">rizík, ktorá slúžila ako východisko pre zostavenie Plánu činnosti </w:t>
      </w:r>
      <w:r w:rsidR="001D0E27">
        <w:rPr>
          <w:rFonts w:ascii="Cambria" w:eastAsia="Cambria" w:hAnsi="Cambria" w:cs="Cambria"/>
        </w:rPr>
        <w:t xml:space="preserve">oddelenia vnútorného auditu </w:t>
      </w:r>
      <w:r>
        <w:rPr>
          <w:rFonts w:ascii="Cambria" w:eastAsia="Cambria" w:hAnsi="Cambria" w:cs="Cambria"/>
        </w:rPr>
        <w:t>na rok 2018.</w:t>
      </w:r>
    </w:p>
    <w:p w:rsidR="001D0E27" w:rsidRDefault="001D0E27" w:rsidP="001D0E27">
      <w:pPr>
        <w:jc w:val="both"/>
        <w:rPr>
          <w:rFonts w:ascii="Cambria" w:eastAsia="Cambria" w:hAnsi="Cambria" w:cs="Cambria"/>
        </w:rPr>
      </w:pPr>
    </w:p>
    <w:sectPr w:rsidR="001D0E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6C" w:rsidRDefault="00E3616C" w:rsidP="00AA2A30">
      <w:pPr>
        <w:spacing w:after="0" w:line="240" w:lineRule="auto"/>
      </w:pPr>
      <w:r>
        <w:separator/>
      </w:r>
    </w:p>
  </w:endnote>
  <w:endnote w:type="continuationSeparator" w:id="0">
    <w:p w:rsidR="00E3616C" w:rsidRDefault="00E3616C" w:rsidP="00AA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9358"/>
      <w:docPartObj>
        <w:docPartGallery w:val="Page Numbers (Bottom of Page)"/>
        <w:docPartUnique/>
      </w:docPartObj>
    </w:sdtPr>
    <w:sdtEndPr/>
    <w:sdtContent>
      <w:p w:rsidR="00AA2A30" w:rsidRDefault="00AA2A30">
        <w:pPr>
          <w:pStyle w:val="Pta"/>
          <w:jc w:val="right"/>
        </w:pPr>
        <w:r>
          <w:fldChar w:fldCharType="begin"/>
        </w:r>
        <w:r>
          <w:instrText>PAGE   \* MERGEFORMAT</w:instrText>
        </w:r>
        <w:r>
          <w:fldChar w:fldCharType="separate"/>
        </w:r>
        <w:r w:rsidR="003E1C0A">
          <w:rPr>
            <w:noProof/>
          </w:rPr>
          <w:t>3</w:t>
        </w:r>
        <w:r>
          <w:fldChar w:fldCharType="end"/>
        </w:r>
      </w:p>
    </w:sdtContent>
  </w:sdt>
  <w:p w:rsidR="00AA2A30" w:rsidRDefault="00AA2A3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6C" w:rsidRDefault="00E3616C" w:rsidP="00AA2A30">
      <w:pPr>
        <w:spacing w:after="0" w:line="240" w:lineRule="auto"/>
      </w:pPr>
      <w:r>
        <w:separator/>
      </w:r>
    </w:p>
  </w:footnote>
  <w:footnote w:type="continuationSeparator" w:id="0">
    <w:p w:rsidR="00E3616C" w:rsidRDefault="00E3616C" w:rsidP="00AA2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2CDC"/>
    <w:multiLevelType w:val="hybridMultilevel"/>
    <w:tmpl w:val="526EAB56"/>
    <w:lvl w:ilvl="0" w:tplc="F7F40C54">
      <w:start w:val="2"/>
      <w:numFmt w:val="bullet"/>
      <w:lvlText w:val="-"/>
      <w:lvlJc w:val="left"/>
      <w:pPr>
        <w:ind w:left="720" w:hanging="360"/>
      </w:pPr>
      <w:rPr>
        <w:rFonts w:ascii="Cambria" w:eastAsia="Cambria" w:hAnsi="Cambria"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5B95C23"/>
    <w:multiLevelType w:val="multilevel"/>
    <w:tmpl w:val="ECF89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0F"/>
    <w:rsid w:val="0007230F"/>
    <w:rsid w:val="001019AF"/>
    <w:rsid w:val="001D0E27"/>
    <w:rsid w:val="002A191E"/>
    <w:rsid w:val="002A293B"/>
    <w:rsid w:val="003E1C0A"/>
    <w:rsid w:val="004959DA"/>
    <w:rsid w:val="006A7F79"/>
    <w:rsid w:val="007914CB"/>
    <w:rsid w:val="0082184F"/>
    <w:rsid w:val="008A24CB"/>
    <w:rsid w:val="00966933"/>
    <w:rsid w:val="00AA2A30"/>
    <w:rsid w:val="00C2760C"/>
    <w:rsid w:val="00D30EB3"/>
    <w:rsid w:val="00E3616C"/>
    <w:rsid w:val="00EC685E"/>
    <w:rsid w:val="00EE34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4EC8"/>
  <w15:docId w15:val="{FD8A4FC4-4400-45E3-8EC0-90346C2C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A2A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2A30"/>
  </w:style>
  <w:style w:type="paragraph" w:styleId="Pta">
    <w:name w:val="footer"/>
    <w:basedOn w:val="Normlny"/>
    <w:link w:val="PtaChar"/>
    <w:uiPriority w:val="99"/>
    <w:unhideWhenUsed/>
    <w:rsid w:val="00AA2A30"/>
    <w:pPr>
      <w:tabs>
        <w:tab w:val="center" w:pos="4536"/>
        <w:tab w:val="right" w:pos="9072"/>
      </w:tabs>
      <w:spacing w:after="0" w:line="240" w:lineRule="auto"/>
    </w:pPr>
  </w:style>
  <w:style w:type="character" w:customStyle="1" w:styleId="PtaChar">
    <w:name w:val="Päta Char"/>
    <w:basedOn w:val="Predvolenpsmoodseku"/>
    <w:link w:val="Pta"/>
    <w:uiPriority w:val="99"/>
    <w:rsid w:val="00AA2A30"/>
  </w:style>
  <w:style w:type="table" w:styleId="Mriekatabuky">
    <w:name w:val="Table Grid"/>
    <w:basedOn w:val="Normlnatabuka"/>
    <w:uiPriority w:val="39"/>
    <w:rsid w:val="00AA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A2A30"/>
    <w:pPr>
      <w:ind w:left="720"/>
      <w:contextualSpacing/>
    </w:pPr>
  </w:style>
  <w:style w:type="paragraph" w:styleId="Textbubliny">
    <w:name w:val="Balloon Text"/>
    <w:basedOn w:val="Normlny"/>
    <w:link w:val="TextbublinyChar"/>
    <w:uiPriority w:val="99"/>
    <w:semiHidden/>
    <w:unhideWhenUsed/>
    <w:rsid w:val="00C2760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7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8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1229</Words>
  <Characters>7008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Valachova</dc:creator>
  <cp:lastModifiedBy>Michaela Horvathova</cp:lastModifiedBy>
  <cp:revision>5</cp:revision>
  <cp:lastPrinted>2018-04-25T06:00:00Z</cp:lastPrinted>
  <dcterms:created xsi:type="dcterms:W3CDTF">2018-04-24T12:58:00Z</dcterms:created>
  <dcterms:modified xsi:type="dcterms:W3CDTF">2018-04-25T07:30:00Z</dcterms:modified>
</cp:coreProperties>
</file>