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97A54" w14:textId="77777777" w:rsidR="002F2BF3" w:rsidRPr="005330BC" w:rsidRDefault="002F2BF3" w:rsidP="002F2BF3">
      <w:pPr>
        <w:spacing w:after="120" w:line="288" w:lineRule="auto"/>
        <w:rPr>
          <w:rFonts w:ascii="Cambria" w:eastAsia="Times New Roman" w:hAnsi="Cambria" w:cs="Times New Roman"/>
          <w:sz w:val="24"/>
          <w:szCs w:val="24"/>
        </w:rPr>
      </w:pPr>
      <w:r w:rsidRPr="005330BC">
        <w:rPr>
          <w:rFonts w:ascii="Cambria" w:hAnsi="Cambria"/>
          <w:sz w:val="24"/>
          <w:szCs w:val="24"/>
        </w:rPr>
        <w:t>Na rokovanie</w:t>
      </w:r>
    </w:p>
    <w:p w14:paraId="79A6B10B" w14:textId="77777777" w:rsidR="002F2BF3" w:rsidRPr="005330BC" w:rsidRDefault="002F2BF3" w:rsidP="002F2BF3">
      <w:pPr>
        <w:spacing w:after="120" w:line="288" w:lineRule="auto"/>
        <w:rPr>
          <w:rFonts w:ascii="Cambria" w:hAnsi="Cambria"/>
          <w:sz w:val="24"/>
          <w:szCs w:val="24"/>
        </w:rPr>
      </w:pPr>
      <w:r w:rsidRPr="005330BC">
        <w:rPr>
          <w:rFonts w:ascii="Cambria" w:hAnsi="Cambria"/>
          <w:sz w:val="24"/>
          <w:szCs w:val="24"/>
        </w:rPr>
        <w:t>Národnej rady Slovenskej republiky</w:t>
      </w:r>
    </w:p>
    <w:p w14:paraId="0AE2EC9C" w14:textId="77777777" w:rsidR="002F2BF3" w:rsidRPr="005330BC" w:rsidRDefault="002F2BF3" w:rsidP="002F2BF3">
      <w:pPr>
        <w:spacing w:after="120" w:line="288" w:lineRule="auto"/>
        <w:rPr>
          <w:rFonts w:ascii="Cambria" w:eastAsia="Times New Roman" w:hAnsi="Cambria" w:cs="Times New Roman"/>
          <w:sz w:val="24"/>
          <w:szCs w:val="24"/>
        </w:rPr>
      </w:pPr>
    </w:p>
    <w:p w14:paraId="3E9BC8A8" w14:textId="77777777" w:rsidR="002F2BF3" w:rsidRPr="005330BC" w:rsidRDefault="002F2BF3" w:rsidP="002F2BF3">
      <w:pPr>
        <w:spacing w:after="120" w:line="288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5330BC">
        <w:rPr>
          <w:rFonts w:ascii="Cambria" w:hAnsi="Cambria"/>
          <w:sz w:val="24"/>
          <w:szCs w:val="24"/>
        </w:rPr>
        <w:t>I</w:t>
      </w:r>
    </w:p>
    <w:p w14:paraId="796DA068" w14:textId="77777777" w:rsidR="002F2BF3" w:rsidRPr="005330BC" w:rsidRDefault="002F2BF3" w:rsidP="002F2BF3">
      <w:pPr>
        <w:spacing w:after="120" w:line="288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5330BC">
        <w:rPr>
          <w:rFonts w:ascii="Cambria" w:eastAsia="Times New Roman" w:hAnsi="Cambria" w:cs="Times New Roman"/>
          <w:sz w:val="24"/>
          <w:szCs w:val="24"/>
        </w:rPr>
        <w:tab/>
        <w:t>Pod</w:t>
      </w:r>
      <w:r w:rsidRPr="005330BC">
        <w:rPr>
          <w:rFonts w:ascii="Cambria" w:hAnsi="Cambria"/>
          <w:sz w:val="24"/>
          <w:szCs w:val="24"/>
        </w:rPr>
        <w:t>ľa čl. 102 ods. 1 písm. o) Ústavy Slovenskej republiky vraciam Národnej rade Slovenskej republiky zákon z</w:t>
      </w:r>
      <w:r w:rsidR="005330BC">
        <w:rPr>
          <w:rFonts w:ascii="Cambria" w:hAnsi="Cambria"/>
          <w:sz w:val="24"/>
          <w:szCs w:val="24"/>
        </w:rPr>
        <w:t> 2</w:t>
      </w:r>
      <w:r w:rsidRPr="005330BC">
        <w:rPr>
          <w:rFonts w:ascii="Cambria" w:hAnsi="Cambria"/>
          <w:sz w:val="24"/>
          <w:szCs w:val="24"/>
        </w:rPr>
        <w:t>.</w:t>
      </w:r>
      <w:r w:rsidR="005330BC">
        <w:rPr>
          <w:rFonts w:ascii="Cambria" w:hAnsi="Cambria"/>
          <w:sz w:val="24"/>
          <w:szCs w:val="24"/>
        </w:rPr>
        <w:t> novembr</w:t>
      </w:r>
      <w:r w:rsidRPr="005330BC">
        <w:rPr>
          <w:rFonts w:ascii="Cambria" w:hAnsi="Cambria"/>
          <w:sz w:val="24"/>
          <w:szCs w:val="24"/>
        </w:rPr>
        <w:t>a</w:t>
      </w:r>
      <w:r w:rsidR="005330BC">
        <w:rPr>
          <w:rFonts w:ascii="Cambria" w:hAnsi="Cambria"/>
          <w:sz w:val="24"/>
          <w:szCs w:val="24"/>
        </w:rPr>
        <w:t> </w:t>
      </w:r>
      <w:r w:rsidRPr="005330BC">
        <w:rPr>
          <w:rFonts w:ascii="Cambria" w:hAnsi="Cambria"/>
          <w:sz w:val="24"/>
          <w:szCs w:val="24"/>
        </w:rPr>
        <w:t>202</w:t>
      </w:r>
      <w:r w:rsidR="005330BC">
        <w:rPr>
          <w:rFonts w:ascii="Cambria" w:hAnsi="Cambria"/>
          <w:sz w:val="24"/>
          <w:szCs w:val="24"/>
        </w:rPr>
        <w:t>1 o elektronických komunikáciách</w:t>
      </w:r>
      <w:r w:rsidRPr="005330BC">
        <w:rPr>
          <w:rFonts w:ascii="Cambria" w:hAnsi="Cambria"/>
          <w:sz w:val="24"/>
          <w:szCs w:val="24"/>
        </w:rPr>
        <w:t xml:space="preserve"> (ďalej len „schválený zákon“).</w:t>
      </w:r>
    </w:p>
    <w:p w14:paraId="7DAFABA4" w14:textId="77777777" w:rsidR="002F2BF3" w:rsidRPr="005330BC" w:rsidRDefault="002F2BF3" w:rsidP="002F2BF3">
      <w:pPr>
        <w:spacing w:after="120" w:line="288" w:lineRule="auto"/>
        <w:jc w:val="both"/>
        <w:rPr>
          <w:rFonts w:ascii="Cambria" w:hAnsi="Cambria"/>
          <w:sz w:val="24"/>
          <w:szCs w:val="24"/>
        </w:rPr>
      </w:pPr>
      <w:r w:rsidRPr="005330BC">
        <w:rPr>
          <w:rFonts w:ascii="Cambria" w:eastAsia="Times New Roman" w:hAnsi="Cambria" w:cs="Times New Roman"/>
          <w:sz w:val="24"/>
          <w:szCs w:val="24"/>
        </w:rPr>
        <w:tab/>
      </w:r>
      <w:r w:rsidR="00CA310C" w:rsidRPr="00221E2C">
        <w:rPr>
          <w:rFonts w:ascii="Cambria" w:eastAsia="Cambria" w:hAnsi="Cambria" w:cs="Cambria"/>
          <w:color w:val="auto"/>
          <w:sz w:val="24"/>
          <w:szCs w:val="24"/>
        </w:rPr>
        <w:t xml:space="preserve">Navrhujem, aby </w:t>
      </w:r>
      <w:r w:rsidR="00CA310C">
        <w:rPr>
          <w:rFonts w:ascii="Cambria" w:eastAsia="Cambria" w:hAnsi="Cambria" w:cs="Cambria"/>
          <w:color w:val="auto"/>
          <w:sz w:val="24"/>
          <w:szCs w:val="24"/>
        </w:rPr>
        <w:t>N</w:t>
      </w:r>
      <w:r w:rsidR="00CA310C" w:rsidRPr="00221E2C">
        <w:rPr>
          <w:rFonts w:ascii="Cambria" w:eastAsia="Cambria" w:hAnsi="Cambria" w:cs="Cambria"/>
          <w:color w:val="auto"/>
          <w:sz w:val="24"/>
          <w:szCs w:val="24"/>
        </w:rPr>
        <w:t xml:space="preserve">árodná rada </w:t>
      </w:r>
      <w:r w:rsidR="00CA310C">
        <w:rPr>
          <w:rFonts w:ascii="Cambria" w:eastAsia="Cambria" w:hAnsi="Cambria" w:cs="Cambria"/>
          <w:color w:val="auto"/>
          <w:sz w:val="24"/>
          <w:szCs w:val="24"/>
        </w:rPr>
        <w:t xml:space="preserve">Slovenskej republiky </w:t>
      </w:r>
      <w:r w:rsidR="00CA310C" w:rsidRPr="00221E2C">
        <w:rPr>
          <w:rFonts w:ascii="Cambria" w:eastAsia="Cambria" w:hAnsi="Cambria" w:cs="Cambria"/>
          <w:color w:val="auto"/>
          <w:sz w:val="24"/>
          <w:szCs w:val="24"/>
        </w:rPr>
        <w:t>pri opätovnom prerokovaní schválila zákon so zmen</w:t>
      </w:r>
      <w:r w:rsidR="00BE4772">
        <w:rPr>
          <w:rFonts w:ascii="Cambria" w:eastAsia="Cambria" w:hAnsi="Cambria" w:cs="Cambria"/>
          <w:color w:val="auto"/>
          <w:sz w:val="24"/>
          <w:szCs w:val="24"/>
        </w:rPr>
        <w:t>ou</w:t>
      </w:r>
      <w:r w:rsidR="00CA310C" w:rsidRPr="00221E2C">
        <w:rPr>
          <w:rFonts w:ascii="Cambria" w:eastAsia="Cambria" w:hAnsi="Cambria" w:cs="Cambria"/>
          <w:color w:val="auto"/>
          <w:sz w:val="24"/>
          <w:szCs w:val="24"/>
        </w:rPr>
        <w:t>, ktor</w:t>
      </w:r>
      <w:r w:rsidR="00BE4772">
        <w:rPr>
          <w:rFonts w:ascii="Cambria" w:eastAsia="Cambria" w:hAnsi="Cambria" w:cs="Cambria"/>
          <w:color w:val="auto"/>
          <w:sz w:val="24"/>
          <w:szCs w:val="24"/>
        </w:rPr>
        <w:t>á</w:t>
      </w:r>
      <w:r w:rsidR="00CA310C" w:rsidRPr="00221E2C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r w:rsidR="00BE4772">
        <w:rPr>
          <w:rFonts w:ascii="Cambria" w:eastAsia="Cambria" w:hAnsi="Cambria" w:cs="Cambria"/>
          <w:color w:val="auto"/>
          <w:sz w:val="24"/>
          <w:szCs w:val="24"/>
        </w:rPr>
        <w:t>je</w:t>
      </w:r>
      <w:r w:rsidR="00CA310C" w:rsidRPr="00221E2C">
        <w:rPr>
          <w:rFonts w:ascii="Cambria" w:eastAsia="Cambria" w:hAnsi="Cambria" w:cs="Cambria"/>
          <w:color w:val="auto"/>
          <w:sz w:val="24"/>
          <w:szCs w:val="24"/>
        </w:rPr>
        <w:t xml:space="preserve"> uveden</w:t>
      </w:r>
      <w:r w:rsidR="00BE4772">
        <w:rPr>
          <w:rFonts w:ascii="Cambria" w:eastAsia="Cambria" w:hAnsi="Cambria" w:cs="Cambria"/>
          <w:color w:val="auto"/>
          <w:sz w:val="24"/>
          <w:szCs w:val="24"/>
        </w:rPr>
        <w:t>á</w:t>
      </w:r>
      <w:r w:rsidR="00CA310C" w:rsidRPr="00221E2C">
        <w:rPr>
          <w:rFonts w:ascii="Cambria" w:eastAsia="Cambria" w:hAnsi="Cambria" w:cs="Cambria"/>
          <w:color w:val="auto"/>
          <w:sz w:val="24"/>
          <w:szCs w:val="24"/>
        </w:rPr>
        <w:t xml:space="preserve"> v časti </w:t>
      </w:r>
      <w:r w:rsidR="00CA310C">
        <w:rPr>
          <w:rFonts w:ascii="Cambria" w:eastAsia="Cambria" w:hAnsi="Cambria" w:cs="Cambria"/>
          <w:color w:val="auto"/>
          <w:sz w:val="24"/>
          <w:szCs w:val="24"/>
        </w:rPr>
        <w:t>I</w:t>
      </w:r>
      <w:r w:rsidR="00BE4772">
        <w:rPr>
          <w:rFonts w:ascii="Cambria" w:eastAsia="Cambria" w:hAnsi="Cambria" w:cs="Cambria"/>
          <w:color w:val="auto"/>
          <w:sz w:val="24"/>
          <w:szCs w:val="24"/>
        </w:rPr>
        <w:t>V</w:t>
      </w:r>
      <w:r w:rsidR="00CA310C" w:rsidRPr="00221E2C">
        <w:rPr>
          <w:rFonts w:ascii="Cambria" w:eastAsia="Cambria" w:hAnsi="Cambria" w:cs="Cambria"/>
          <w:color w:val="auto"/>
          <w:sz w:val="24"/>
          <w:szCs w:val="24"/>
        </w:rPr>
        <w:t>.</w:t>
      </w:r>
    </w:p>
    <w:p w14:paraId="5758A824" w14:textId="77777777" w:rsidR="002F2BF3" w:rsidRPr="005330BC" w:rsidRDefault="002F2BF3" w:rsidP="002F2BF3">
      <w:pPr>
        <w:spacing w:after="120" w:line="288" w:lineRule="auto"/>
        <w:jc w:val="both"/>
        <w:rPr>
          <w:rFonts w:ascii="Cambria" w:eastAsia="Times New Roman" w:hAnsi="Cambria" w:cs="Times New Roman"/>
        </w:rPr>
      </w:pPr>
    </w:p>
    <w:p w14:paraId="7F3746C4" w14:textId="77777777" w:rsidR="002F2BF3" w:rsidRPr="005330BC" w:rsidRDefault="002F2BF3" w:rsidP="002F2BF3">
      <w:pPr>
        <w:spacing w:after="120" w:line="288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5330BC">
        <w:rPr>
          <w:rFonts w:ascii="Cambria" w:hAnsi="Cambria"/>
          <w:sz w:val="24"/>
          <w:szCs w:val="24"/>
        </w:rPr>
        <w:t>II</w:t>
      </w:r>
    </w:p>
    <w:p w14:paraId="06A2B74E" w14:textId="32E0B5C8" w:rsidR="00986388" w:rsidRDefault="002F2BF3" w:rsidP="001C5960">
      <w:pPr>
        <w:spacing w:after="120" w:line="288" w:lineRule="auto"/>
        <w:jc w:val="both"/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</w:pPr>
      <w:r w:rsidRPr="005330BC">
        <w:rPr>
          <w:rFonts w:ascii="Cambria" w:hAnsi="Cambria"/>
          <w:sz w:val="24"/>
          <w:szCs w:val="24"/>
        </w:rPr>
        <w:tab/>
      </w:r>
      <w:r w:rsidR="007D2842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S</w:t>
      </w:r>
      <w:r w:rsidRPr="005330B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chválený zákon </w:t>
      </w:r>
      <w:r w:rsidR="007D2842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vraciam </w:t>
      </w:r>
      <w:r w:rsidRPr="005330B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na opätovné prerokovanie </w:t>
      </w:r>
      <w:r w:rsidR="007D2842" w:rsidRPr="007D2842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Národnej rade Slovenskej republiky (ďalej len „národná rada“)</w:t>
      </w:r>
      <w:r w:rsidR="007D2842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z dôvodu</w:t>
      </w:r>
      <w:r w:rsidRPr="005330B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jeho</w:t>
      </w:r>
      <w:r w:rsidRPr="005330BC">
        <w:rPr>
          <w:rFonts w:ascii="Cambria" w:eastAsia="Times New Roman" w:hAnsi="Cambria"/>
          <w:color w:val="FF0000"/>
          <w:sz w:val="24"/>
          <w:szCs w:val="24"/>
          <w:bdr w:val="none" w:sz="0" w:space="0" w:color="auto"/>
        </w:rPr>
        <w:t xml:space="preserve"> </w:t>
      </w:r>
      <w:r w:rsidRPr="005330B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rozpor</w:t>
      </w:r>
      <w:r w:rsidR="007D2842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u</w:t>
      </w:r>
      <w:r w:rsidRPr="005330B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s Ústavou Slovenskej republiky (ďalej len „Ústava“) a Dohovorom o</w:t>
      </w:r>
      <w:r w:rsid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Pr="005330B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ochrane ľu</w:t>
      </w:r>
      <w:r w:rsid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dských práv a </w:t>
      </w:r>
      <w:r w:rsidR="00986388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základných slobôd. </w:t>
      </w:r>
      <w:r w:rsidR="00986388" w:rsidRPr="005330B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Konkrétne ide najmä </w:t>
      </w:r>
      <w:r w:rsidR="007D2842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o porušenie práva na </w:t>
      </w:r>
      <w:r w:rsidR="00986388" w:rsidRPr="005330B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ochranu pred neoprávneným zasahovaním do súkromného života a práv</w:t>
      </w:r>
      <w:r w:rsidR="007D2842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a</w:t>
      </w:r>
      <w:r w:rsidR="00986388" w:rsidRPr="005330B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na ochranu pred neoprávneným zhromažďovaním, zverejňovaním alebo iným zneužívaním údajov o svojej osobe. Súkromie je pritom jednou z ústredných hodnôt, na ktorých je založená demokratická spoločnosť.</w:t>
      </w:r>
      <w:r w:rsid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</w:t>
      </w:r>
    </w:p>
    <w:p w14:paraId="2B5EE69B" w14:textId="2C21C762" w:rsidR="00214E5C" w:rsidRDefault="00214E5C" w:rsidP="00986388">
      <w:pPr>
        <w:spacing w:after="120" w:line="288" w:lineRule="auto"/>
        <w:ind w:firstLine="708"/>
        <w:jc w:val="both"/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</w:pP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Pri rozhodovaní som vychádzala z porovnania znenia relevantných ustanovení v schválenom zákone </w:t>
      </w:r>
      <w:r w:rsidR="000B13C7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(§ 117 ods. 21) </w:t>
      </w: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a v súčasnosti platnom zákone č. 351/2011 Z. z. o elektronických komunikáciách v znení neskorších predpisov</w:t>
      </w:r>
      <w:r w:rsidR="006B66D8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(ďalej len „súčasný zákon“</w:t>
      </w:r>
      <w:r w:rsidR="000B13C7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, § 63 ods. 21</w:t>
      </w:r>
      <w:r w:rsidR="006B66D8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). V auguste 2020 som vrátila národnej rade </w:t>
      </w:r>
      <w:r w:rsidR="00BE4772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na opätovné prerokovanie </w:t>
      </w:r>
      <w:r w:rsidR="006B66D8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novelu súčasného zákona z dôvodu jej rozporu s Ústavou, najmä </w:t>
      </w:r>
      <w:r w:rsidR="000B13C7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z dôvodu</w:t>
      </w:r>
      <w:r w:rsidR="006B66D8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nedostatočnej ochrany osobných údajov</w:t>
      </w:r>
      <w:r w:rsidR="00F13785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, </w:t>
      </w:r>
      <w:r w:rsidR="006B66D8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neprimeraného obmedzenia práva na súkromie a</w:t>
      </w:r>
      <w:r w:rsidR="007D2842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6B66D8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ne</w:t>
      </w:r>
      <w:r w:rsidR="007D2842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dostatočných záruk proti zneužitiu</w:t>
      </w:r>
      <w:r w:rsidR="006B66D8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, ktoré majú zabezpečiť ochranu </w:t>
      </w:r>
      <w:r w:rsidR="007D2842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uvedených </w:t>
      </w:r>
      <w:r w:rsidR="006B66D8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Ústavou garantovaných práv.</w:t>
      </w:r>
      <w:r w:rsidR="007D2842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Požiadavky pre takéto záruky </w:t>
      </w:r>
      <w:r w:rsidR="001179A3">
        <w:rPr>
          <w:rFonts w:ascii="Cambria" w:hAnsi="Cambria"/>
          <w:color w:val="auto"/>
          <w:sz w:val="24"/>
          <w:szCs w:val="24"/>
        </w:rPr>
        <w:t>vyslovil aj Ústavný súd Slovenskej republiky (ďalej len „Ústavný súd“) v obdobných prípadoch v nedávnej minulosti (</w:t>
      </w:r>
      <w:r w:rsidR="001179A3" w:rsidRPr="00B00F06">
        <w:rPr>
          <w:rFonts w:ascii="Cambria" w:hAnsi="Cambria"/>
          <w:color w:val="auto"/>
          <w:sz w:val="24"/>
          <w:szCs w:val="24"/>
        </w:rPr>
        <w:t>nález sp. zn. PL. ÚS 10/2014</w:t>
      </w:r>
      <w:r w:rsidR="007D2842">
        <w:rPr>
          <w:rFonts w:ascii="Cambria" w:hAnsi="Cambria"/>
          <w:color w:val="auto"/>
          <w:sz w:val="24"/>
          <w:szCs w:val="24"/>
        </w:rPr>
        <w:t xml:space="preserve"> a najmä</w:t>
      </w:r>
      <w:r w:rsidR="001179A3">
        <w:rPr>
          <w:rFonts w:ascii="Cambria" w:hAnsi="Cambria"/>
          <w:color w:val="auto"/>
          <w:sz w:val="24"/>
          <w:szCs w:val="24"/>
        </w:rPr>
        <w:t xml:space="preserve"> </w:t>
      </w:r>
      <w:r w:rsidR="001179A3" w:rsidRPr="00B00F06">
        <w:rPr>
          <w:rFonts w:ascii="Cambria" w:hAnsi="Cambria"/>
          <w:color w:val="auto"/>
          <w:sz w:val="24"/>
          <w:szCs w:val="24"/>
        </w:rPr>
        <w:t>uznesen</w:t>
      </w:r>
      <w:r w:rsidR="001179A3">
        <w:rPr>
          <w:rFonts w:ascii="Cambria" w:hAnsi="Cambria"/>
          <w:color w:val="auto"/>
          <w:sz w:val="24"/>
          <w:szCs w:val="24"/>
        </w:rPr>
        <w:t>ie</w:t>
      </w:r>
      <w:r w:rsidR="001179A3" w:rsidRPr="00B00F06">
        <w:rPr>
          <w:rFonts w:ascii="Cambria" w:hAnsi="Cambria"/>
          <w:color w:val="auto"/>
          <w:sz w:val="24"/>
          <w:szCs w:val="24"/>
        </w:rPr>
        <w:t xml:space="preserve"> </w:t>
      </w:r>
      <w:bookmarkStart w:id="0" w:name="OLE_LINK1"/>
      <w:r w:rsidR="001179A3" w:rsidRPr="00B00F06">
        <w:rPr>
          <w:rFonts w:ascii="Cambria" w:hAnsi="Cambria"/>
          <w:color w:val="auto"/>
          <w:sz w:val="24"/>
          <w:szCs w:val="24"/>
        </w:rPr>
        <w:t>sp. zn. PL. ÚS 13/2020</w:t>
      </w:r>
      <w:bookmarkEnd w:id="0"/>
      <w:r w:rsidR="00F13785">
        <w:rPr>
          <w:rFonts w:ascii="Cambria" w:hAnsi="Cambria"/>
          <w:color w:val="auto"/>
          <w:sz w:val="24"/>
          <w:szCs w:val="24"/>
        </w:rPr>
        <w:t>, ktoré bolo vydané už v súvislosti s mimoriadnou situáciou vyvolanou pandémiou COVID-19</w:t>
      </w:r>
      <w:r w:rsidR="00F00248">
        <w:rPr>
          <w:rFonts w:ascii="Cambria" w:hAnsi="Cambria"/>
          <w:color w:val="auto"/>
          <w:sz w:val="24"/>
          <w:szCs w:val="24"/>
        </w:rPr>
        <w:t>).</w:t>
      </w:r>
    </w:p>
    <w:p w14:paraId="72C195C8" w14:textId="43DC6437" w:rsidR="006B66D8" w:rsidRDefault="001179A3" w:rsidP="00986388">
      <w:pPr>
        <w:spacing w:after="120" w:line="288" w:lineRule="auto"/>
        <w:ind w:firstLine="708"/>
        <w:jc w:val="both"/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</w:pP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Schválený zákon obsahuje </w:t>
      </w:r>
      <w:r w:rsidR="00A93FB0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obsahovo totožné </w:t>
      </w: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sporné ustanoveni</w:t>
      </w:r>
      <w:r w:rsidR="00A93FB0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e</w:t>
      </w: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,</w:t>
      </w:r>
      <w:r w:rsidR="00910329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</w:t>
      </w:r>
      <w:r w:rsidR="00A93FB0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z dôvodu ktorého</w:t>
      </w:r>
      <w:r w:rsidR="00910329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som už pri novele súčasného zákona mala za to, že </w:t>
      </w:r>
      <w:r w:rsidR="007541D3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by neprešl</w:t>
      </w:r>
      <w:r w:rsidR="00A93FB0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o</w:t>
      </w:r>
      <w:r w:rsidR="007541D3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testom ústavnosti, najmä </w:t>
      </w:r>
      <w:r w:rsidR="00A93FB0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kvôli</w:t>
      </w:r>
      <w:r w:rsidR="007541D3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neurčitosti</w:t>
      </w:r>
      <w:r w:rsidR="00A93FB0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a neprimeranosti</w:t>
      </w:r>
      <w:r w:rsidR="007541D3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</w:t>
      </w:r>
      <w:r w:rsidR="00B170E5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vo vzťahu k účelu zberu a</w:t>
      </w:r>
      <w:r w:rsidR="00A93FB0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B170E5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poskytovania</w:t>
      </w:r>
      <w:r w:rsidR="00A93FB0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údajov</w:t>
      </w:r>
      <w:r w:rsidR="00B170E5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, </w:t>
      </w:r>
      <w:r w:rsid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osobitne z dôvodu</w:t>
      </w:r>
      <w:r w:rsidR="00C41B6E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absencie záruk proti zneužitiu</w:t>
      </w: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. </w:t>
      </w:r>
      <w:r w:rsidR="007541D3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Ústavný súd v uznesení </w:t>
      </w:r>
      <w:r w:rsidR="007541D3" w:rsidRPr="00B00F06">
        <w:rPr>
          <w:rFonts w:ascii="Cambria" w:hAnsi="Cambria"/>
          <w:color w:val="auto"/>
          <w:sz w:val="24"/>
          <w:szCs w:val="24"/>
        </w:rPr>
        <w:t>sp. zn. PL. ÚS 13/2020</w:t>
      </w:r>
      <w:r w:rsidR="007541D3">
        <w:rPr>
          <w:rFonts w:ascii="Cambria" w:hAnsi="Cambria"/>
          <w:color w:val="auto"/>
          <w:sz w:val="24"/>
          <w:szCs w:val="24"/>
        </w:rPr>
        <w:t xml:space="preserve"> podrobne definoval </w:t>
      </w:r>
      <w:r w:rsid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požiadavky na záruky proti zneužitiu</w:t>
      </w:r>
      <w:r w:rsidR="007541D3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, ktoré </w:t>
      </w:r>
      <w:r w:rsidR="0015492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nevyhnutne </w:t>
      </w:r>
      <w:r w:rsidR="007541D3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musia byť </w:t>
      </w:r>
      <w:r w:rsidR="00C41B6E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splnené na to, aby zber identifikačných a lokalizačných údajov telekomunikačným operátorom a sprístupnenie identifikačných údajov </w:t>
      </w:r>
      <w:r w:rsid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štátnym orgánom nebol považovaný za protiústavný</w:t>
      </w:r>
      <w:r w:rsidR="000B13C7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zásah do práv občanov</w:t>
      </w:r>
      <w:r w:rsid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. K</w:t>
      </w: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eďže </w:t>
      </w:r>
      <w:r w:rsidR="00003DC4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nielenže </w:t>
      </w: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nedošlo </w:t>
      </w: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lastRenderedPageBreak/>
        <w:t xml:space="preserve">k odstráneniu, resp. ústavne konformnému preformulovaniu </w:t>
      </w:r>
      <w:r w:rsid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dotknutého </w:t>
      </w: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ustanoven</w:t>
      </w:r>
      <w:r w:rsid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ia</w:t>
      </w: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ani pri príležitosti prijatia </w:t>
      </w:r>
      <w:r w:rsidR="00BE4772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schváleného zákona</w:t>
      </w: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, </w:t>
      </w:r>
      <w:r w:rsidR="00003DC4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ale </w:t>
      </w:r>
      <w:r w:rsidR="0015492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prostredníctvom odkazu </w:t>
      </w:r>
      <w:r w:rsidR="00003DC4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dokonca došlo k</w:t>
      </w:r>
      <w:r w:rsid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 významnému </w:t>
      </w:r>
      <w:r w:rsidR="007541D3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rozšíreniu </w:t>
      </w:r>
      <w:r w:rsidR="00003DC4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rozsahu údajov</w:t>
      </w:r>
      <w:r w:rsid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, ktoré majú byť sprístupnené orgánu štátnej moci (Úradu verejného zdravotníctva Slovenskej republiky v rozsahu podľa § </w:t>
      </w:r>
      <w:r w:rsidR="00783181" w:rsidRP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110 ods. 2 </w:t>
      </w:r>
      <w:r w:rsid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schváleného zákona)</w:t>
      </w: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, považujem za nutné vrátiť schválený zákon s pripomienk</w:t>
      </w:r>
      <w:r w:rsidR="00003DC4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ou</w:t>
      </w: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, ktor</w:t>
      </w:r>
      <w:r w:rsidR="00003DC4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á</w:t>
      </w:r>
      <w:r w:rsidR="0015492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tento</w:t>
      </w:r>
      <w:r w:rsidR="00BE4772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nedostat</w:t>
      </w:r>
      <w:r w:rsidR="0015492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ok</w:t>
      </w: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</w:t>
      </w:r>
      <w:r w:rsidR="00BE4772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odstráni</w:t>
      </w: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. Moja pripomienka teda smeruje k odstráneniu rozporu s Ústavou a ňou garantovaných práv</w:t>
      </w:r>
      <w:r w:rsidR="00003DC4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rovnako ako pri vrátení novely súčasného zákona</w:t>
      </w:r>
      <w:r w:rsid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. Pre</w:t>
      </w:r>
      <w:r w:rsidR="000B13C7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to podrobnejšie poukazujem na </w:t>
      </w:r>
      <w:r w:rsid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d</w:t>
      </w:r>
      <w:r w:rsidR="00003DC4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ôvody vrátenia</w:t>
      </w:r>
      <w:r w:rsid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schváleného zákona</w:t>
      </w:r>
      <w:r w:rsidR="00003DC4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</w:t>
      </w:r>
      <w:r w:rsidR="000B13C7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v </w:t>
      </w:r>
      <w:r w:rsid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r</w:t>
      </w:r>
      <w:r w:rsidR="00783181" w:rsidRP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ozhodnut</w:t>
      </w:r>
      <w:r w:rsidR="0015492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í</w:t>
      </w:r>
      <w:r w:rsidR="00783181" w:rsidRP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prezidentky Slovenskej republiky č. 4823-2020-KPSR z 3. augusta 2020 (ďalej len „rozhodnutie prezidentky“</w:t>
      </w:r>
      <w:r w:rsid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)</w:t>
      </w:r>
      <w:r w:rsidR="00003DC4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a v skr</w:t>
      </w:r>
      <w:r w:rsidR="00783181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átenej forme</w:t>
      </w:r>
      <w:r w:rsidR="00003DC4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ich uvádzam v  časti III.</w:t>
      </w:r>
    </w:p>
    <w:p w14:paraId="079C12D2" w14:textId="77777777" w:rsidR="00003DC4" w:rsidRDefault="00003DC4" w:rsidP="00986388">
      <w:pPr>
        <w:spacing w:after="120" w:line="288" w:lineRule="auto"/>
        <w:ind w:firstLine="708"/>
        <w:jc w:val="both"/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</w:pPr>
    </w:p>
    <w:p w14:paraId="098AAAD4" w14:textId="77777777" w:rsidR="00003DC4" w:rsidRDefault="00003DC4" w:rsidP="00B1545F">
      <w:pPr>
        <w:spacing w:after="120" w:line="288" w:lineRule="auto"/>
        <w:jc w:val="center"/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</w:pP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III</w:t>
      </w:r>
    </w:p>
    <w:p w14:paraId="27C844C2" w14:textId="77777777" w:rsidR="002F2BF3" w:rsidRDefault="002F2BF3" w:rsidP="002F2BF3">
      <w:pPr>
        <w:spacing w:after="120" w:line="288" w:lineRule="auto"/>
        <w:ind w:firstLine="708"/>
        <w:jc w:val="both"/>
        <w:rPr>
          <w:rFonts w:ascii="Cambria" w:hAnsi="Cambria"/>
          <w:color w:val="auto"/>
          <w:sz w:val="24"/>
          <w:szCs w:val="24"/>
        </w:rPr>
      </w:pPr>
      <w:r w:rsidRPr="005330BC">
        <w:rPr>
          <w:rFonts w:ascii="Cambria" w:hAnsi="Cambria"/>
          <w:color w:val="auto"/>
          <w:sz w:val="24"/>
          <w:szCs w:val="24"/>
        </w:rPr>
        <w:t>Podľa čl.</w:t>
      </w:r>
      <w:r w:rsidR="009301E5">
        <w:rPr>
          <w:rFonts w:ascii="Cambria" w:hAnsi="Cambria"/>
          <w:color w:val="auto"/>
          <w:sz w:val="24"/>
          <w:szCs w:val="24"/>
        </w:rPr>
        <w:t> </w:t>
      </w:r>
      <w:r w:rsidRPr="005330BC">
        <w:rPr>
          <w:rFonts w:ascii="Cambria" w:hAnsi="Cambria"/>
          <w:color w:val="auto"/>
          <w:sz w:val="24"/>
          <w:szCs w:val="24"/>
        </w:rPr>
        <w:t>19 ods.</w:t>
      </w:r>
      <w:r w:rsidR="009301E5">
        <w:rPr>
          <w:rFonts w:ascii="Cambria" w:hAnsi="Cambria"/>
          <w:color w:val="auto"/>
          <w:sz w:val="24"/>
          <w:szCs w:val="24"/>
        </w:rPr>
        <w:t> </w:t>
      </w:r>
      <w:r w:rsidRPr="005330BC">
        <w:rPr>
          <w:rFonts w:ascii="Cambria" w:hAnsi="Cambria"/>
          <w:color w:val="auto"/>
          <w:sz w:val="24"/>
          <w:szCs w:val="24"/>
        </w:rPr>
        <w:t>2 Ústavy každý má právo na ochranu pred neoprávneným zasahovaním do súkromného a rodinného života. Podľa čl.</w:t>
      </w:r>
      <w:r w:rsidR="009301E5">
        <w:rPr>
          <w:rFonts w:ascii="Cambria" w:hAnsi="Cambria"/>
          <w:color w:val="auto"/>
          <w:sz w:val="24"/>
          <w:szCs w:val="24"/>
        </w:rPr>
        <w:t> </w:t>
      </w:r>
      <w:r w:rsidRPr="005330BC">
        <w:rPr>
          <w:rFonts w:ascii="Cambria" w:hAnsi="Cambria"/>
          <w:color w:val="auto"/>
          <w:sz w:val="24"/>
          <w:szCs w:val="24"/>
        </w:rPr>
        <w:t>22 ods.</w:t>
      </w:r>
      <w:r w:rsidR="009301E5">
        <w:rPr>
          <w:rFonts w:ascii="Cambria" w:hAnsi="Cambria"/>
          <w:color w:val="auto"/>
          <w:sz w:val="24"/>
          <w:szCs w:val="24"/>
        </w:rPr>
        <w:t> </w:t>
      </w:r>
      <w:r w:rsidRPr="005330BC">
        <w:rPr>
          <w:rFonts w:ascii="Cambria" w:hAnsi="Cambria"/>
          <w:color w:val="auto"/>
          <w:sz w:val="24"/>
          <w:szCs w:val="24"/>
        </w:rPr>
        <w:t>1 Ústavy listové tajomstvo, tajomstvo dopravovaných správ a iných písomností a ochran</w:t>
      </w:r>
      <w:r w:rsidR="00B00F06">
        <w:rPr>
          <w:rFonts w:ascii="Cambria" w:hAnsi="Cambria"/>
          <w:color w:val="auto"/>
          <w:sz w:val="24"/>
          <w:szCs w:val="24"/>
        </w:rPr>
        <w:t xml:space="preserve">a osobných údajov sa zaručujú. </w:t>
      </w:r>
      <w:r w:rsidRPr="005330BC">
        <w:rPr>
          <w:rFonts w:ascii="Cambria" w:hAnsi="Cambria"/>
          <w:color w:val="auto"/>
          <w:sz w:val="24"/>
          <w:szCs w:val="24"/>
        </w:rPr>
        <w:t>Podľa čl.</w:t>
      </w:r>
      <w:r w:rsidR="009301E5">
        <w:rPr>
          <w:rFonts w:ascii="Cambria" w:hAnsi="Cambria"/>
          <w:color w:val="auto"/>
          <w:sz w:val="24"/>
          <w:szCs w:val="24"/>
        </w:rPr>
        <w:t> </w:t>
      </w:r>
      <w:r w:rsidRPr="005330BC">
        <w:rPr>
          <w:rFonts w:ascii="Cambria" w:hAnsi="Cambria"/>
          <w:color w:val="auto"/>
          <w:sz w:val="24"/>
          <w:szCs w:val="24"/>
        </w:rPr>
        <w:t>13 ods.</w:t>
      </w:r>
      <w:r w:rsidR="009301E5">
        <w:rPr>
          <w:rFonts w:ascii="Cambria" w:hAnsi="Cambria"/>
          <w:color w:val="auto"/>
          <w:sz w:val="24"/>
          <w:szCs w:val="24"/>
        </w:rPr>
        <w:t> </w:t>
      </w:r>
      <w:r w:rsidRPr="005330BC">
        <w:rPr>
          <w:rFonts w:ascii="Cambria" w:hAnsi="Cambria"/>
          <w:color w:val="auto"/>
          <w:sz w:val="24"/>
          <w:szCs w:val="24"/>
        </w:rPr>
        <w:t>4 Ústavy pri obmedzovaní základných práv a slobôd sa musí dbať na ich podstatu a zmysel. Takéto obmedzenia sa môžu použiť len na ustanovený cieľ.</w:t>
      </w:r>
    </w:p>
    <w:p w14:paraId="490293BA" w14:textId="2D23C474" w:rsidR="00241C36" w:rsidRDefault="000B13C7" w:rsidP="002F2BF3">
      <w:pPr>
        <w:spacing w:after="120" w:line="288" w:lineRule="auto"/>
        <w:ind w:firstLine="708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Rozhodnutím prezidentky som 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národnej rade vrátila ako celok na opätovné prerokovanie 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zákon z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15.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júla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2020, ktorým sa mení a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dopĺňa zákon 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č.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351/2011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Z.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z. o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elektronických komunikáciách v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znení neskorších predpisov a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ktorým sa mení a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dopĺňa zákon č.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355/2007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Z.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z. o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ochrane, podpore a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rozvoji verejného zdravia a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o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zmene a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doplnení niektorých zákonov v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 </w:t>
      </w:r>
      <w:r w:rsidR="00241C36" w:rsidRPr="00CA310C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znení neskorších predpisov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, ktorý bol bez akceptovania mojich pripomienok uvedených v rozhodnutí prezidentky národnou radou 2. septembra 2020 opätovne schválený a publikovaný v Zbierke zákonov Slovenskej republiky ako zákon č. 242/2020 Z. z.</w:t>
      </w:r>
      <w:r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 xml:space="preserve"> a </w:t>
      </w:r>
      <w:r w:rsidR="00F00248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obsahoval ustanovenia totožné s tými, ktoré sú predmetom tohto rozhodnutia</w:t>
      </w:r>
      <w:r w:rsidR="00241C36">
        <w:rPr>
          <w:rFonts w:ascii="Cambria" w:eastAsia="Times New Roman" w:hAnsi="Cambria"/>
          <w:color w:val="auto"/>
          <w:sz w:val="24"/>
          <w:szCs w:val="24"/>
          <w:bdr w:val="none" w:sz="0" w:space="0" w:color="auto"/>
        </w:rPr>
        <w:t>.</w:t>
      </w:r>
    </w:p>
    <w:p w14:paraId="02EA2AD4" w14:textId="77777777" w:rsidR="00B00F06" w:rsidRPr="00B00F06" w:rsidRDefault="00B00F06" w:rsidP="00B00F06">
      <w:pPr>
        <w:spacing w:after="120" w:line="288" w:lineRule="auto"/>
        <w:ind w:firstLine="708"/>
        <w:jc w:val="both"/>
        <w:rPr>
          <w:rFonts w:ascii="Cambria" w:hAnsi="Cambria"/>
          <w:color w:val="auto"/>
          <w:sz w:val="24"/>
          <w:szCs w:val="24"/>
        </w:rPr>
      </w:pPr>
      <w:r w:rsidRPr="00B00F06">
        <w:rPr>
          <w:rFonts w:ascii="Cambria" w:hAnsi="Cambria"/>
          <w:color w:val="auto"/>
          <w:sz w:val="24"/>
          <w:szCs w:val="24"/>
        </w:rPr>
        <w:t xml:space="preserve">Podľa </w:t>
      </w:r>
      <w:r w:rsidR="009301E5">
        <w:rPr>
          <w:rFonts w:ascii="Cambria" w:hAnsi="Cambria"/>
          <w:color w:val="auto"/>
          <w:sz w:val="24"/>
          <w:szCs w:val="24"/>
        </w:rPr>
        <w:t xml:space="preserve">sporných ustanovení </w:t>
      </w:r>
      <w:r w:rsidRPr="00B00F06">
        <w:rPr>
          <w:rFonts w:ascii="Cambria" w:hAnsi="Cambria"/>
          <w:color w:val="auto"/>
          <w:sz w:val="24"/>
          <w:szCs w:val="24"/>
        </w:rPr>
        <w:t xml:space="preserve">schváleného zákona na základe žiadosti Úradu verejného zdravotníctva Slovenskej republiky (ďalej len „Úrad“) má byť podnik (osoba podnikajúca v oblasti poskytovania sietí alebo služieb podľa </w:t>
      </w:r>
      <w:r w:rsidR="00FA03C3">
        <w:rPr>
          <w:rFonts w:ascii="Cambria" w:hAnsi="Cambria"/>
          <w:color w:val="auto"/>
          <w:sz w:val="24"/>
          <w:szCs w:val="24"/>
        </w:rPr>
        <w:t xml:space="preserve">schváleného </w:t>
      </w:r>
      <w:r w:rsidRPr="00B00F06">
        <w:rPr>
          <w:rFonts w:ascii="Cambria" w:hAnsi="Cambria"/>
          <w:color w:val="auto"/>
          <w:sz w:val="24"/>
          <w:szCs w:val="24"/>
        </w:rPr>
        <w:t>zákona) povinný bezplatne zasielať účastníkom siete informácie, ktoré sa týkajú ochrany osôb pred hroziacim nebezpečenstvom a opatrení pri ohrození života a zdravia, a to</w:t>
      </w:r>
      <w:r w:rsidR="00B245C9">
        <w:rPr>
          <w:rFonts w:ascii="Cambria" w:hAnsi="Cambria"/>
          <w:color w:val="auto"/>
          <w:sz w:val="24"/>
          <w:szCs w:val="24"/>
        </w:rPr>
        <w:t xml:space="preserve"> </w:t>
      </w:r>
      <w:r w:rsidRPr="00B00F06">
        <w:rPr>
          <w:rFonts w:ascii="Cambria" w:hAnsi="Cambria"/>
          <w:color w:val="auto"/>
          <w:sz w:val="24"/>
          <w:szCs w:val="24"/>
        </w:rPr>
        <w:t>vo</w:t>
      </w:r>
      <w:r w:rsidR="00241C36"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verejnom záujme, primeraným spôsobom a bezplatne (</w:t>
      </w:r>
      <w:r w:rsidR="000F73B3">
        <w:rPr>
          <w:rFonts w:ascii="Cambria" w:hAnsi="Cambria"/>
          <w:color w:val="auto"/>
          <w:sz w:val="24"/>
          <w:szCs w:val="24"/>
        </w:rPr>
        <w:t>§ 83 ods. 8 písm. c)</w:t>
      </w:r>
      <w:r w:rsidR="006E6AB1">
        <w:rPr>
          <w:rFonts w:ascii="Cambria" w:hAnsi="Cambria"/>
          <w:color w:val="auto"/>
          <w:sz w:val="24"/>
          <w:szCs w:val="24"/>
        </w:rPr>
        <w:t xml:space="preserve"> schváleného zákona</w:t>
      </w:r>
      <w:r w:rsidRPr="00B00F06">
        <w:rPr>
          <w:rFonts w:ascii="Cambria" w:hAnsi="Cambria"/>
          <w:color w:val="auto"/>
          <w:sz w:val="24"/>
          <w:szCs w:val="24"/>
        </w:rPr>
        <w:t>). Za týmto účelom by malo byť podniku umožnené po prijatí zodpovedajúcich technických a organizačných opatrení na ochranu súkromia a osobných údajov v</w:t>
      </w:r>
      <w:r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nevyhnutnom rozsahu a na nevyhnutný čas spracúvať lokalizačné údaje účastníkov, aj bez súhlasu dotknutého účastníka (</w:t>
      </w:r>
      <w:r w:rsidR="009B3D81">
        <w:rPr>
          <w:rFonts w:ascii="Cambria" w:hAnsi="Cambria"/>
          <w:color w:val="auto"/>
          <w:sz w:val="24"/>
          <w:szCs w:val="24"/>
        </w:rPr>
        <w:t>§ 111 ods. 11</w:t>
      </w:r>
      <w:r w:rsidRPr="00B00F06">
        <w:rPr>
          <w:rFonts w:ascii="Cambria" w:hAnsi="Cambria"/>
          <w:color w:val="auto"/>
          <w:sz w:val="24"/>
          <w:szCs w:val="24"/>
        </w:rPr>
        <w:t xml:space="preserve"> schváleného zákona). Podnik na základe písomnej žiadosti Úradu by mal poskytnúť do 24 hodín údaje o</w:t>
      </w:r>
      <w:r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 xml:space="preserve">účastníkovi, ktorému bola zaslaná informácia </w:t>
      </w:r>
      <w:r w:rsidR="00FA03C3">
        <w:rPr>
          <w:rFonts w:ascii="Cambria" w:hAnsi="Cambria"/>
          <w:color w:val="auto"/>
          <w:sz w:val="24"/>
          <w:szCs w:val="24"/>
        </w:rPr>
        <w:t xml:space="preserve">podľa </w:t>
      </w:r>
      <w:r w:rsidRPr="00B00F06">
        <w:rPr>
          <w:rFonts w:ascii="Cambria" w:hAnsi="Cambria"/>
          <w:color w:val="auto"/>
          <w:sz w:val="24"/>
          <w:szCs w:val="24"/>
        </w:rPr>
        <w:t>§</w:t>
      </w:r>
      <w:r w:rsidR="009B3D81">
        <w:rPr>
          <w:rFonts w:ascii="Cambria" w:hAnsi="Cambria"/>
          <w:color w:val="auto"/>
          <w:sz w:val="24"/>
          <w:szCs w:val="24"/>
        </w:rPr>
        <w:t> 83</w:t>
      </w:r>
      <w:r w:rsidRPr="00B00F06">
        <w:rPr>
          <w:rFonts w:ascii="Cambria" w:hAnsi="Cambria"/>
          <w:color w:val="auto"/>
          <w:sz w:val="24"/>
          <w:szCs w:val="24"/>
        </w:rPr>
        <w:t xml:space="preserve"> ods.</w:t>
      </w:r>
      <w:r w:rsidR="009B3D81">
        <w:rPr>
          <w:rFonts w:ascii="Cambria" w:hAnsi="Cambria"/>
          <w:color w:val="auto"/>
          <w:sz w:val="24"/>
          <w:szCs w:val="24"/>
        </w:rPr>
        <w:t> 8 písm. c)</w:t>
      </w:r>
      <w:r w:rsidRPr="00B00F06">
        <w:rPr>
          <w:rFonts w:ascii="Cambria" w:hAnsi="Cambria"/>
          <w:color w:val="auto"/>
          <w:sz w:val="24"/>
          <w:szCs w:val="24"/>
        </w:rPr>
        <w:t xml:space="preserve"> schváleného </w:t>
      </w:r>
      <w:r w:rsidRPr="00B00F06">
        <w:rPr>
          <w:rFonts w:ascii="Cambria" w:hAnsi="Cambria"/>
          <w:color w:val="auto"/>
          <w:sz w:val="24"/>
          <w:szCs w:val="24"/>
        </w:rPr>
        <w:lastRenderedPageBreak/>
        <w:t>zákona v</w:t>
      </w:r>
      <w:r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rozsahu telefónneho čísla</w:t>
      </w:r>
      <w:r w:rsidR="00FA03C3">
        <w:rPr>
          <w:rFonts w:ascii="Cambria" w:hAnsi="Cambria"/>
          <w:color w:val="auto"/>
          <w:sz w:val="24"/>
          <w:szCs w:val="24"/>
        </w:rPr>
        <w:t>, výšky neuhradených záväzkov, pri fyzických osobách všetkých osobných údajov vrátane rodného čísla či čísla občianskeho preukazu a pri právnických osobách všetkých identifikačných údajov, emailovej adresy, ak ju má osoba zriadenú,</w:t>
      </w:r>
      <w:r w:rsidRPr="00B00F06">
        <w:rPr>
          <w:rFonts w:ascii="Cambria" w:hAnsi="Cambria"/>
          <w:color w:val="auto"/>
          <w:sz w:val="24"/>
          <w:szCs w:val="24"/>
        </w:rPr>
        <w:t xml:space="preserve"> za účelom ochrany osôb pred hroziacim nebezpečenstvom alebo za účelom prijímania opatrení pri ohrození života a zdravia počas trvania mimoriadnej situácie alebo núdzového stavu (§</w:t>
      </w:r>
      <w:r w:rsidR="009B3D81">
        <w:rPr>
          <w:rFonts w:ascii="Cambria" w:hAnsi="Cambria"/>
          <w:color w:val="auto"/>
          <w:sz w:val="24"/>
          <w:szCs w:val="24"/>
        </w:rPr>
        <w:t> 117</w:t>
      </w:r>
      <w:r w:rsidRPr="00B00F06">
        <w:rPr>
          <w:rFonts w:ascii="Cambria" w:hAnsi="Cambria"/>
          <w:color w:val="auto"/>
          <w:sz w:val="24"/>
          <w:szCs w:val="24"/>
        </w:rPr>
        <w:t xml:space="preserve"> ods.</w:t>
      </w:r>
      <w:r w:rsidR="009B3D81"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21 prvá veta schváleného zákona).</w:t>
      </w:r>
    </w:p>
    <w:p w14:paraId="6C79BBD6" w14:textId="53F1ADC9" w:rsidR="00B00F06" w:rsidRPr="00B00F06" w:rsidRDefault="00B00F06" w:rsidP="00B00F06">
      <w:pPr>
        <w:spacing w:after="120" w:line="288" w:lineRule="auto"/>
        <w:ind w:firstLine="708"/>
        <w:jc w:val="both"/>
        <w:rPr>
          <w:rFonts w:ascii="Cambria" w:hAnsi="Cambria"/>
          <w:color w:val="auto"/>
          <w:sz w:val="24"/>
          <w:szCs w:val="24"/>
        </w:rPr>
      </w:pPr>
      <w:r w:rsidRPr="00B00F06">
        <w:rPr>
          <w:rFonts w:ascii="Cambria" w:hAnsi="Cambria"/>
          <w:color w:val="auto"/>
          <w:sz w:val="24"/>
          <w:szCs w:val="24"/>
        </w:rPr>
        <w:t>Za účelom poskytovania vyššie uvedených osobných údajov by sa podniku malo umožniť po prijatí zodpovedajúcich technických a organizačných opatrení na ochranu súkromia a osobných údajov v</w:t>
      </w:r>
      <w:r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nevyhnutnom rozsahu a na nevyhnutný čas</w:t>
      </w:r>
      <w:r w:rsidR="00B170E5">
        <w:rPr>
          <w:rFonts w:ascii="Cambria" w:hAnsi="Cambria"/>
          <w:color w:val="auto"/>
          <w:sz w:val="24"/>
          <w:szCs w:val="24"/>
        </w:rPr>
        <w:t xml:space="preserve"> (bez uvedenia akejkoľvek objektivizovateľnej maximálnej hranice)</w:t>
      </w:r>
      <w:r w:rsidRPr="00B00F06">
        <w:rPr>
          <w:rFonts w:ascii="Cambria" w:hAnsi="Cambria"/>
          <w:color w:val="auto"/>
          <w:sz w:val="24"/>
          <w:szCs w:val="24"/>
        </w:rPr>
        <w:t xml:space="preserve"> spracúvať prevádzkové údaje v</w:t>
      </w:r>
      <w:r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rozsahu identifikácie prihlásenia účastníka do siete v</w:t>
      </w:r>
      <w:r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stanovenom čase a</w:t>
      </w:r>
      <w:r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lokalizačné údaje účastníka, aj bez súhlasu dotknutého účastníka (§</w:t>
      </w:r>
      <w:r w:rsidR="009B3D81">
        <w:rPr>
          <w:rFonts w:ascii="Cambria" w:hAnsi="Cambria"/>
          <w:color w:val="auto"/>
          <w:sz w:val="24"/>
          <w:szCs w:val="24"/>
        </w:rPr>
        <w:t> 117</w:t>
      </w:r>
      <w:r w:rsidRPr="00B00F06">
        <w:rPr>
          <w:rFonts w:ascii="Cambria" w:hAnsi="Cambria"/>
          <w:color w:val="auto"/>
          <w:sz w:val="24"/>
          <w:szCs w:val="24"/>
        </w:rPr>
        <w:t xml:space="preserve"> ods.</w:t>
      </w:r>
      <w:r w:rsidR="009B3D81"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21 tretia veta schváleného zákona). Zároveň by sa malo umožniť Úradu po prijatí zodpovedajúcich technických a organizačných opatrení na ochranu súkromia a</w:t>
      </w:r>
      <w:r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osobných údajov poskytnuté osobné údaje zbierať, spracúvať a uchovávať najdlhšie po dobu 60 dní odo dňa ich poskytnutia podnikom; po uplynutí tejto lehoty by mal Úrad tieto osobné údaje bezodkladne zničiť (§</w:t>
      </w:r>
      <w:r w:rsidR="009B3D81">
        <w:rPr>
          <w:rFonts w:ascii="Cambria" w:hAnsi="Cambria"/>
          <w:color w:val="auto"/>
          <w:sz w:val="24"/>
          <w:szCs w:val="24"/>
        </w:rPr>
        <w:t> 117</w:t>
      </w:r>
      <w:r w:rsidRPr="00B00F06">
        <w:rPr>
          <w:rFonts w:ascii="Cambria" w:hAnsi="Cambria"/>
          <w:color w:val="auto"/>
          <w:sz w:val="24"/>
          <w:szCs w:val="24"/>
        </w:rPr>
        <w:t xml:space="preserve"> ods.</w:t>
      </w:r>
      <w:r w:rsidR="009B3D81"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21 štvrtá veta schváleného zákona). Úrad by mal byť oprávnený tieto osobné údaje získavať len za účelom zabránenia vzniku a šírenia pandémie alebo nebezpečnej nákazlivej ľudskej choroby (§</w:t>
      </w:r>
      <w:r w:rsidR="009B3D81">
        <w:rPr>
          <w:rFonts w:ascii="Cambria" w:hAnsi="Cambria"/>
          <w:color w:val="auto"/>
          <w:sz w:val="24"/>
          <w:szCs w:val="24"/>
        </w:rPr>
        <w:t> 117</w:t>
      </w:r>
      <w:r w:rsidRPr="00B00F06">
        <w:rPr>
          <w:rFonts w:ascii="Cambria" w:hAnsi="Cambria"/>
          <w:color w:val="auto"/>
          <w:sz w:val="24"/>
          <w:szCs w:val="24"/>
        </w:rPr>
        <w:t xml:space="preserve"> ods.</w:t>
      </w:r>
      <w:r w:rsidR="009B3D81"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21 piata veta schváleného zákona).</w:t>
      </w:r>
    </w:p>
    <w:p w14:paraId="1528031F" w14:textId="50345767" w:rsidR="00B00F06" w:rsidRPr="00B00F06" w:rsidRDefault="00B00F06" w:rsidP="00B00F06">
      <w:pPr>
        <w:spacing w:after="120" w:line="288" w:lineRule="auto"/>
        <w:ind w:firstLine="708"/>
        <w:jc w:val="both"/>
        <w:rPr>
          <w:rFonts w:ascii="Cambria" w:hAnsi="Cambria"/>
          <w:color w:val="auto"/>
          <w:sz w:val="24"/>
          <w:szCs w:val="24"/>
        </w:rPr>
      </w:pPr>
      <w:r w:rsidRPr="00B00F06">
        <w:rPr>
          <w:rFonts w:ascii="Cambria" w:hAnsi="Cambria"/>
          <w:color w:val="auto"/>
          <w:sz w:val="24"/>
          <w:szCs w:val="24"/>
        </w:rPr>
        <w:t xml:space="preserve">Napriek tomu, že </w:t>
      </w:r>
      <w:r w:rsidR="009301E5">
        <w:rPr>
          <w:rFonts w:ascii="Cambria" w:hAnsi="Cambria"/>
          <w:color w:val="auto"/>
          <w:sz w:val="24"/>
          <w:szCs w:val="24"/>
        </w:rPr>
        <w:t xml:space="preserve">spornými ustanoveniami </w:t>
      </w:r>
      <w:r w:rsidR="00F00248">
        <w:rPr>
          <w:rFonts w:ascii="Cambria" w:hAnsi="Cambria"/>
          <w:color w:val="auto"/>
          <w:sz w:val="24"/>
          <w:szCs w:val="24"/>
        </w:rPr>
        <w:t>sa sleduje</w:t>
      </w:r>
      <w:r w:rsidRPr="00B00F06">
        <w:rPr>
          <w:rFonts w:ascii="Cambria" w:hAnsi="Cambria"/>
          <w:color w:val="auto"/>
          <w:sz w:val="24"/>
          <w:szCs w:val="24"/>
        </w:rPr>
        <w:t xml:space="preserve"> legitímny cieľ (ochrana pred šírením nákazlivej ľudskej choroby), </w:t>
      </w:r>
      <w:r w:rsidR="009301E5">
        <w:rPr>
          <w:rFonts w:ascii="Cambria" w:hAnsi="Cambria"/>
          <w:color w:val="auto"/>
          <w:sz w:val="24"/>
          <w:szCs w:val="24"/>
        </w:rPr>
        <w:t xml:space="preserve">ich </w:t>
      </w:r>
      <w:r w:rsidRPr="00B00F06">
        <w:rPr>
          <w:rFonts w:ascii="Cambria" w:hAnsi="Cambria"/>
          <w:color w:val="auto"/>
          <w:sz w:val="24"/>
          <w:szCs w:val="24"/>
        </w:rPr>
        <w:t>znenie nespĺňa minimálne obsahové požiadavky formulované Ústavným súdom a</w:t>
      </w:r>
      <w:r w:rsidR="00B170E5">
        <w:rPr>
          <w:rFonts w:ascii="Cambria" w:hAnsi="Cambria"/>
          <w:color w:val="auto"/>
          <w:sz w:val="24"/>
          <w:szCs w:val="24"/>
        </w:rPr>
        <w:t xml:space="preserve"> opakovane taktiež </w:t>
      </w:r>
      <w:r w:rsidRPr="00B00F06">
        <w:rPr>
          <w:rFonts w:ascii="Cambria" w:hAnsi="Cambria"/>
          <w:color w:val="auto"/>
          <w:sz w:val="24"/>
          <w:szCs w:val="24"/>
        </w:rPr>
        <w:t>Európskym súdom pre ľudské práva, ktorých splnenie je nevyhnutným predpokladom pre zásah do práva na súkromie a ktoré slúžia na to, aby sa pri prelamovaní telekomunikačného tajomstva zabránilo svojvôli. Podľa §</w:t>
      </w:r>
      <w:r w:rsidR="009301E5">
        <w:rPr>
          <w:rFonts w:ascii="Cambria" w:hAnsi="Cambria"/>
          <w:color w:val="auto"/>
          <w:sz w:val="24"/>
          <w:szCs w:val="24"/>
        </w:rPr>
        <w:t> 117</w:t>
      </w:r>
      <w:r w:rsidRPr="00B00F06">
        <w:rPr>
          <w:rFonts w:ascii="Cambria" w:hAnsi="Cambria"/>
          <w:color w:val="auto"/>
          <w:sz w:val="24"/>
          <w:szCs w:val="24"/>
        </w:rPr>
        <w:t xml:space="preserve"> ods.</w:t>
      </w:r>
      <w:r w:rsidR="009301E5"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1 písm.</w:t>
      </w:r>
      <w:r w:rsidR="009301E5"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 xml:space="preserve">d) </w:t>
      </w:r>
      <w:r w:rsidR="009301E5">
        <w:rPr>
          <w:rFonts w:ascii="Cambria" w:hAnsi="Cambria"/>
          <w:color w:val="auto"/>
          <w:sz w:val="24"/>
          <w:szCs w:val="24"/>
        </w:rPr>
        <w:t xml:space="preserve">schváleného </w:t>
      </w:r>
      <w:r w:rsidRPr="00B00F06">
        <w:rPr>
          <w:rFonts w:ascii="Cambria" w:hAnsi="Cambria"/>
          <w:color w:val="auto"/>
          <w:sz w:val="24"/>
          <w:szCs w:val="24"/>
        </w:rPr>
        <w:t>zákona predmetom telekomunikačného tajomstva sú aj lokalizačné údaje (údaje spracúvané v</w:t>
      </w:r>
      <w:r w:rsidR="009301E5"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sieti alebo prostredníctvom služby, ktoré označujú geografickú polohu koncového zariadenia užívateľa verejnej služby). Podľa §</w:t>
      </w:r>
      <w:r w:rsidR="009301E5">
        <w:rPr>
          <w:rFonts w:ascii="Cambria" w:hAnsi="Cambria"/>
          <w:color w:val="auto"/>
          <w:sz w:val="24"/>
          <w:szCs w:val="24"/>
        </w:rPr>
        <w:t> 117</w:t>
      </w:r>
      <w:r w:rsidRPr="00B00F06">
        <w:rPr>
          <w:rFonts w:ascii="Cambria" w:hAnsi="Cambria"/>
          <w:color w:val="auto"/>
          <w:sz w:val="24"/>
          <w:szCs w:val="24"/>
        </w:rPr>
        <w:t xml:space="preserve"> ods.</w:t>
      </w:r>
      <w:r w:rsidR="009301E5"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 xml:space="preserve">2 </w:t>
      </w:r>
      <w:r w:rsidR="009301E5">
        <w:rPr>
          <w:rFonts w:ascii="Cambria" w:hAnsi="Cambria"/>
          <w:color w:val="auto"/>
          <w:sz w:val="24"/>
          <w:szCs w:val="24"/>
        </w:rPr>
        <w:t xml:space="preserve">schváleného </w:t>
      </w:r>
      <w:r w:rsidRPr="00B00F06">
        <w:rPr>
          <w:rFonts w:ascii="Cambria" w:hAnsi="Cambria"/>
          <w:color w:val="auto"/>
          <w:sz w:val="24"/>
          <w:szCs w:val="24"/>
        </w:rPr>
        <w:t>zákona telekomunikačné tajomstvo je povinný zachovávať každý, kto príde s jeho predmetom do styku pri poskytovaní sietí a služieb, pri používaní služieb, náhodne alebo inak.</w:t>
      </w:r>
    </w:p>
    <w:p w14:paraId="3B0C88EA" w14:textId="77777777" w:rsidR="00B00F06" w:rsidRPr="00B00F06" w:rsidRDefault="00B00F06" w:rsidP="00B00F06">
      <w:pPr>
        <w:spacing w:after="120" w:line="288" w:lineRule="auto"/>
        <w:ind w:firstLine="708"/>
        <w:jc w:val="both"/>
        <w:rPr>
          <w:rFonts w:ascii="Cambria" w:hAnsi="Cambria"/>
          <w:color w:val="auto"/>
          <w:sz w:val="24"/>
          <w:szCs w:val="24"/>
        </w:rPr>
      </w:pPr>
      <w:r w:rsidRPr="00B00F06">
        <w:rPr>
          <w:rFonts w:ascii="Cambria" w:hAnsi="Cambria"/>
          <w:color w:val="auto"/>
          <w:sz w:val="24"/>
          <w:szCs w:val="24"/>
        </w:rPr>
        <w:t>V zmysle rozhodnutí Ústavného súdu akékoľvek obmedzenie práva na súkromie spočívajúce v prelomení ochrany osobných údajov (telekomunikačného tajomstva), musí byť dostatočne určité, primerané okolnostiam zásahu a poskytovať silné záruky proti zneužitiu (nález Ústavného súdu sp. zn. PL. ÚS 10/2014). Ústavný súd opakovane zdôraznil potrebu osobitných záruk v uznesení sp. zn. PL. ÚS 13/2020, a to najmä subsidiaritu používania získaných údajov, jasné vymedzenie účelu použitia daných údajov, kvalitný dohľad zo strany súdu alebo iných nezávislých inštitúcií, zabezpečenie mimoriadne vysokej úrovne ochrany a bezpečnosti, časovo podmienené zničenie údajov a zároveň vyrozumenie dotknutých osôb.</w:t>
      </w:r>
    </w:p>
    <w:p w14:paraId="6AED4BE0" w14:textId="3574101F" w:rsidR="00B00F06" w:rsidRPr="00B00F06" w:rsidRDefault="00B00F06" w:rsidP="00B00F06">
      <w:pPr>
        <w:spacing w:after="120" w:line="288" w:lineRule="auto"/>
        <w:ind w:firstLine="708"/>
        <w:jc w:val="both"/>
        <w:rPr>
          <w:rFonts w:ascii="Cambria" w:hAnsi="Cambria"/>
          <w:color w:val="auto"/>
          <w:sz w:val="24"/>
          <w:szCs w:val="24"/>
        </w:rPr>
      </w:pPr>
      <w:r w:rsidRPr="00B00F06">
        <w:rPr>
          <w:rFonts w:ascii="Cambria" w:hAnsi="Cambria"/>
          <w:color w:val="auto"/>
          <w:sz w:val="24"/>
          <w:szCs w:val="24"/>
        </w:rPr>
        <w:lastRenderedPageBreak/>
        <w:t xml:space="preserve">Vo svetle uvedeného uznesenia Ústavného súdu, ktorým pozastavil účinnosť obdobnej právnej úpravy týkajúcej sa prelomenia ochrany osobných údajov (telekomunikačného tajomstva) a ich poskytovania štátnej moci, mám za to, že ani </w:t>
      </w:r>
      <w:r w:rsidR="00B56EA0">
        <w:rPr>
          <w:rFonts w:ascii="Cambria" w:hAnsi="Cambria"/>
          <w:color w:val="auto"/>
          <w:sz w:val="24"/>
          <w:szCs w:val="24"/>
        </w:rPr>
        <w:t xml:space="preserve">sporné ustanovenia </w:t>
      </w:r>
      <w:r w:rsidRPr="00B00F06">
        <w:rPr>
          <w:rFonts w:ascii="Cambria" w:hAnsi="Cambria"/>
          <w:color w:val="auto"/>
          <w:sz w:val="24"/>
          <w:szCs w:val="24"/>
        </w:rPr>
        <w:t>schválen</w:t>
      </w:r>
      <w:r w:rsidR="00B56EA0">
        <w:rPr>
          <w:rFonts w:ascii="Cambria" w:hAnsi="Cambria"/>
          <w:color w:val="auto"/>
          <w:sz w:val="24"/>
          <w:szCs w:val="24"/>
        </w:rPr>
        <w:t>ého</w:t>
      </w:r>
      <w:r w:rsidRPr="00B00F06">
        <w:rPr>
          <w:rFonts w:ascii="Cambria" w:hAnsi="Cambria"/>
          <w:color w:val="auto"/>
          <w:sz w:val="24"/>
          <w:szCs w:val="24"/>
        </w:rPr>
        <w:t xml:space="preserve"> zákon</w:t>
      </w:r>
      <w:r w:rsidR="00B56EA0">
        <w:rPr>
          <w:rFonts w:ascii="Cambria" w:hAnsi="Cambria"/>
          <w:color w:val="auto"/>
          <w:sz w:val="24"/>
          <w:szCs w:val="24"/>
        </w:rPr>
        <w:t>a</w:t>
      </w:r>
      <w:r w:rsidRPr="00B00F06">
        <w:rPr>
          <w:rFonts w:ascii="Cambria" w:hAnsi="Cambria"/>
          <w:color w:val="auto"/>
          <w:sz w:val="24"/>
          <w:szCs w:val="24"/>
        </w:rPr>
        <w:t xml:space="preserve"> by neprešl</w:t>
      </w:r>
      <w:r w:rsidR="00B56EA0">
        <w:rPr>
          <w:rFonts w:ascii="Cambria" w:hAnsi="Cambria"/>
          <w:color w:val="auto"/>
          <w:sz w:val="24"/>
          <w:szCs w:val="24"/>
        </w:rPr>
        <w:t>i</w:t>
      </w:r>
      <w:r w:rsidRPr="00B00F06">
        <w:rPr>
          <w:rFonts w:ascii="Cambria" w:hAnsi="Cambria"/>
          <w:color w:val="auto"/>
          <w:sz w:val="24"/>
          <w:szCs w:val="24"/>
        </w:rPr>
        <w:t xml:space="preserve"> testom ústavnosti. S</w:t>
      </w:r>
      <w:r w:rsidR="00FA03C3">
        <w:rPr>
          <w:rFonts w:ascii="Cambria" w:hAnsi="Cambria"/>
          <w:color w:val="auto"/>
          <w:sz w:val="24"/>
          <w:szCs w:val="24"/>
        </w:rPr>
        <w:t>porné ustanoveni</w:t>
      </w:r>
      <w:r w:rsidR="00B170E5">
        <w:rPr>
          <w:rFonts w:ascii="Cambria" w:hAnsi="Cambria"/>
          <w:color w:val="auto"/>
          <w:sz w:val="24"/>
          <w:szCs w:val="24"/>
        </w:rPr>
        <w:t>e (§ 117 ods. 21)</w:t>
      </w:r>
      <w:r w:rsidR="00FA03C3">
        <w:rPr>
          <w:rFonts w:ascii="Cambria" w:hAnsi="Cambria"/>
          <w:color w:val="auto"/>
          <w:sz w:val="24"/>
          <w:szCs w:val="24"/>
        </w:rPr>
        <w:t xml:space="preserve"> s</w:t>
      </w:r>
      <w:r w:rsidRPr="00B00F06">
        <w:rPr>
          <w:rFonts w:ascii="Cambria" w:hAnsi="Cambria"/>
          <w:color w:val="auto"/>
          <w:sz w:val="24"/>
          <w:szCs w:val="24"/>
        </w:rPr>
        <w:t>chválen</w:t>
      </w:r>
      <w:r w:rsidR="00FA03C3">
        <w:rPr>
          <w:rFonts w:ascii="Cambria" w:hAnsi="Cambria"/>
          <w:color w:val="auto"/>
          <w:sz w:val="24"/>
          <w:szCs w:val="24"/>
        </w:rPr>
        <w:t>ého</w:t>
      </w:r>
      <w:r w:rsidRPr="00B00F06">
        <w:rPr>
          <w:rFonts w:ascii="Cambria" w:hAnsi="Cambria"/>
          <w:color w:val="auto"/>
          <w:sz w:val="24"/>
          <w:szCs w:val="24"/>
        </w:rPr>
        <w:t xml:space="preserve"> zákon</w:t>
      </w:r>
      <w:r w:rsidR="00FA03C3">
        <w:rPr>
          <w:rFonts w:ascii="Cambria" w:hAnsi="Cambria"/>
          <w:color w:val="auto"/>
          <w:sz w:val="24"/>
          <w:szCs w:val="24"/>
        </w:rPr>
        <w:t>a</w:t>
      </w:r>
      <w:r w:rsidRPr="00B00F06">
        <w:rPr>
          <w:rFonts w:ascii="Cambria" w:hAnsi="Cambria"/>
          <w:color w:val="auto"/>
          <w:sz w:val="24"/>
          <w:szCs w:val="24"/>
        </w:rPr>
        <w:t xml:space="preserve"> nespĺňa požiadavku silných záruk proti zneužitiu, ktoré sú základným predpokladom pre obmedzenie práva na súkromie spočívajúce v</w:t>
      </w:r>
      <w:r w:rsidR="009B3D81"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prelomení ochrany osobných údajov. Problémom súvis</w:t>
      </w:r>
      <w:r w:rsidR="00FA03C3">
        <w:rPr>
          <w:rFonts w:ascii="Cambria" w:hAnsi="Cambria"/>
          <w:color w:val="auto"/>
          <w:sz w:val="24"/>
          <w:szCs w:val="24"/>
        </w:rPr>
        <w:t>iacim s</w:t>
      </w:r>
      <w:r w:rsidR="002417D5">
        <w:rPr>
          <w:rFonts w:ascii="Cambria" w:hAnsi="Cambria"/>
          <w:color w:val="auto"/>
          <w:sz w:val="24"/>
          <w:szCs w:val="24"/>
        </w:rPr>
        <w:t> </w:t>
      </w:r>
      <w:r w:rsidR="00FA03C3">
        <w:rPr>
          <w:rFonts w:ascii="Cambria" w:hAnsi="Cambria"/>
          <w:color w:val="auto"/>
          <w:sz w:val="24"/>
          <w:szCs w:val="24"/>
        </w:rPr>
        <w:t>(ne)primeranosťou zásahov</w:t>
      </w:r>
      <w:r w:rsidRPr="00B00F06">
        <w:rPr>
          <w:rFonts w:ascii="Cambria" w:hAnsi="Cambria"/>
          <w:color w:val="auto"/>
          <w:sz w:val="24"/>
          <w:szCs w:val="24"/>
        </w:rPr>
        <w:t>, ktor</w:t>
      </w:r>
      <w:r w:rsidR="00FA03C3">
        <w:rPr>
          <w:rFonts w:ascii="Cambria" w:hAnsi="Cambria"/>
          <w:color w:val="auto"/>
          <w:sz w:val="24"/>
          <w:szCs w:val="24"/>
        </w:rPr>
        <w:t>é</w:t>
      </w:r>
      <w:r w:rsidRPr="00B00F06">
        <w:rPr>
          <w:rFonts w:ascii="Cambria" w:hAnsi="Cambria"/>
          <w:color w:val="auto"/>
          <w:sz w:val="24"/>
          <w:szCs w:val="24"/>
        </w:rPr>
        <w:t xml:space="preserve"> predpoklad</w:t>
      </w:r>
      <w:r w:rsidR="00FA03C3">
        <w:rPr>
          <w:rFonts w:ascii="Cambria" w:hAnsi="Cambria"/>
          <w:color w:val="auto"/>
          <w:sz w:val="24"/>
          <w:szCs w:val="24"/>
        </w:rPr>
        <w:t>ajú</w:t>
      </w:r>
      <w:r w:rsidRPr="00B00F06">
        <w:rPr>
          <w:rFonts w:ascii="Cambria" w:hAnsi="Cambria"/>
          <w:color w:val="auto"/>
          <w:sz w:val="24"/>
          <w:szCs w:val="24"/>
        </w:rPr>
        <w:t xml:space="preserve"> </w:t>
      </w:r>
      <w:r w:rsidR="00FA03C3">
        <w:rPr>
          <w:rFonts w:ascii="Cambria" w:hAnsi="Cambria"/>
          <w:color w:val="auto"/>
          <w:sz w:val="24"/>
          <w:szCs w:val="24"/>
        </w:rPr>
        <w:t xml:space="preserve">sporné ustanovenia </w:t>
      </w:r>
      <w:r w:rsidRPr="00B00F06">
        <w:rPr>
          <w:rFonts w:ascii="Cambria" w:hAnsi="Cambria"/>
          <w:color w:val="auto"/>
          <w:sz w:val="24"/>
          <w:szCs w:val="24"/>
        </w:rPr>
        <w:t>schválen</w:t>
      </w:r>
      <w:r w:rsidR="00FA03C3">
        <w:rPr>
          <w:rFonts w:ascii="Cambria" w:hAnsi="Cambria"/>
          <w:color w:val="auto"/>
          <w:sz w:val="24"/>
          <w:szCs w:val="24"/>
        </w:rPr>
        <w:t>ého</w:t>
      </w:r>
      <w:r w:rsidRPr="00B00F06">
        <w:rPr>
          <w:rFonts w:ascii="Cambria" w:hAnsi="Cambria"/>
          <w:color w:val="auto"/>
          <w:sz w:val="24"/>
          <w:szCs w:val="24"/>
        </w:rPr>
        <w:t xml:space="preserve"> zákon</w:t>
      </w:r>
      <w:r w:rsidR="00FA03C3">
        <w:rPr>
          <w:rFonts w:ascii="Cambria" w:hAnsi="Cambria"/>
          <w:color w:val="auto"/>
          <w:sz w:val="24"/>
          <w:szCs w:val="24"/>
        </w:rPr>
        <w:t>a,</w:t>
      </w:r>
      <w:r w:rsidRPr="00B00F06">
        <w:rPr>
          <w:rFonts w:ascii="Cambria" w:hAnsi="Cambria"/>
          <w:color w:val="auto"/>
          <w:sz w:val="24"/>
          <w:szCs w:val="24"/>
        </w:rPr>
        <w:t xml:space="preserve"> je skutočnosť, že znenie </w:t>
      </w:r>
      <w:r w:rsidR="00B170E5">
        <w:rPr>
          <w:rFonts w:ascii="Cambria" w:hAnsi="Cambria"/>
          <w:color w:val="auto"/>
          <w:sz w:val="24"/>
          <w:szCs w:val="24"/>
        </w:rPr>
        <w:t xml:space="preserve">tohto </w:t>
      </w:r>
      <w:r w:rsidR="00FA03C3">
        <w:rPr>
          <w:rFonts w:ascii="Cambria" w:hAnsi="Cambria"/>
          <w:color w:val="auto"/>
          <w:sz w:val="24"/>
          <w:szCs w:val="24"/>
        </w:rPr>
        <w:t>ustanoven</w:t>
      </w:r>
      <w:r w:rsidR="00B170E5">
        <w:rPr>
          <w:rFonts w:ascii="Cambria" w:hAnsi="Cambria"/>
          <w:color w:val="auto"/>
          <w:sz w:val="24"/>
          <w:szCs w:val="24"/>
        </w:rPr>
        <w:t>ia</w:t>
      </w:r>
      <w:r w:rsidRPr="00B00F06">
        <w:rPr>
          <w:rFonts w:ascii="Cambria" w:hAnsi="Cambria"/>
          <w:color w:val="auto"/>
          <w:sz w:val="24"/>
          <w:szCs w:val="24"/>
        </w:rPr>
        <w:t xml:space="preserve"> bude viesť k</w:t>
      </w:r>
      <w:r w:rsidR="002417D5"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takým aplikačným problémom, ktoré vzbudzujú pochybnosti o</w:t>
      </w:r>
      <w:r w:rsidR="00BD7B54">
        <w:rPr>
          <w:rFonts w:ascii="Cambria" w:hAnsi="Cambria"/>
          <w:color w:val="auto"/>
          <w:sz w:val="24"/>
          <w:szCs w:val="24"/>
        </w:rPr>
        <w:t> </w:t>
      </w:r>
      <w:r w:rsidR="00B170E5">
        <w:rPr>
          <w:rFonts w:ascii="Cambria" w:hAnsi="Cambria"/>
          <w:color w:val="auto"/>
          <w:sz w:val="24"/>
          <w:szCs w:val="24"/>
        </w:rPr>
        <w:t xml:space="preserve">jeho </w:t>
      </w:r>
      <w:r w:rsidRPr="00B00F06">
        <w:rPr>
          <w:rFonts w:ascii="Cambria" w:hAnsi="Cambria"/>
          <w:color w:val="auto"/>
          <w:sz w:val="24"/>
          <w:szCs w:val="24"/>
        </w:rPr>
        <w:t>vykonateľnosti, a teda aj schopnosti dosiahnuť deklarovaný cieľ a účel.</w:t>
      </w:r>
    </w:p>
    <w:p w14:paraId="2C84CC88" w14:textId="1ACF22F6" w:rsidR="00B00F06" w:rsidRPr="00B00F06" w:rsidRDefault="00B00F06" w:rsidP="00B00F06">
      <w:pPr>
        <w:spacing w:after="120" w:line="288" w:lineRule="auto"/>
        <w:ind w:firstLine="708"/>
        <w:jc w:val="both"/>
        <w:rPr>
          <w:rFonts w:ascii="Cambria" w:hAnsi="Cambria"/>
          <w:color w:val="auto"/>
          <w:sz w:val="24"/>
          <w:szCs w:val="24"/>
        </w:rPr>
      </w:pPr>
      <w:r w:rsidRPr="00B00F06">
        <w:rPr>
          <w:rFonts w:ascii="Cambria" w:hAnsi="Cambria"/>
          <w:color w:val="auto"/>
          <w:sz w:val="24"/>
          <w:szCs w:val="24"/>
        </w:rPr>
        <w:t>Prijatá právna úprava nie je dostatočne určitá, o čom svedčí aj sťažený výkla</w:t>
      </w:r>
      <w:r w:rsidR="008008DC">
        <w:rPr>
          <w:rFonts w:ascii="Cambria" w:hAnsi="Cambria"/>
          <w:color w:val="auto"/>
          <w:sz w:val="24"/>
          <w:szCs w:val="24"/>
        </w:rPr>
        <w:t>d konkrétnych ustanovení, ktorému navyše nenapomáha neexistencia akéhokoľvek vysvetlenia v dôvodovej správe</w:t>
      </w:r>
      <w:r w:rsidRPr="00B00F06">
        <w:rPr>
          <w:rFonts w:ascii="Cambria" w:hAnsi="Cambria"/>
          <w:color w:val="auto"/>
          <w:sz w:val="24"/>
          <w:szCs w:val="24"/>
        </w:rPr>
        <w:t>. Aj keď jednotlivé dotknuté osobné údaje sú vymedzené presne a taxatívnym spôsobom, účel obmedzenia ich ochrany a ich sprístupnenia štátnej moci (Úradu) je formulovaný</w:t>
      </w:r>
      <w:r w:rsidR="00B170E5">
        <w:rPr>
          <w:rFonts w:ascii="Cambria" w:hAnsi="Cambria"/>
          <w:color w:val="auto"/>
          <w:sz w:val="24"/>
          <w:szCs w:val="24"/>
        </w:rPr>
        <w:t xml:space="preserve"> zjavne</w:t>
      </w:r>
      <w:r w:rsidRPr="00B00F06">
        <w:rPr>
          <w:rFonts w:ascii="Cambria" w:hAnsi="Cambria"/>
          <w:color w:val="auto"/>
          <w:sz w:val="24"/>
          <w:szCs w:val="24"/>
        </w:rPr>
        <w:t xml:space="preserve"> príliš všeobecne a</w:t>
      </w:r>
      <w:r w:rsidR="009B3D81"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vágne („ochrana osôb pred hroziacim nebezpečenstvom alebo prijímanie opatrení pri ohrození života a</w:t>
      </w:r>
      <w:r w:rsidR="009B3D81"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>zdravia počas trvania mimoriadnej situácie alebo núdzového stavu“), a</w:t>
      </w:r>
      <w:r w:rsidR="009B3D81">
        <w:rPr>
          <w:rFonts w:ascii="Cambria" w:hAnsi="Cambria"/>
          <w:color w:val="auto"/>
          <w:sz w:val="24"/>
          <w:szCs w:val="24"/>
        </w:rPr>
        <w:t> </w:t>
      </w:r>
      <w:r w:rsidRPr="00B00F06">
        <w:rPr>
          <w:rFonts w:ascii="Cambria" w:hAnsi="Cambria"/>
          <w:color w:val="auto"/>
          <w:sz w:val="24"/>
          <w:szCs w:val="24"/>
        </w:rPr>
        <w:t xml:space="preserve">teda neprimerane. Vzhľadom na to, že požiadavkou na zákon zasahujúci do telekomunikačného tajomstva je vysoká miera určitosti, skutočný účel – teda kontrola dodržiavania nariadených epidemiologických opatrení, prípadne vyvodenie zodpovednosti za ich porušenie, nie je zo znenia </w:t>
      </w:r>
      <w:r w:rsidR="00FA03C3">
        <w:rPr>
          <w:rFonts w:ascii="Cambria" w:hAnsi="Cambria"/>
          <w:color w:val="auto"/>
          <w:sz w:val="24"/>
          <w:szCs w:val="24"/>
        </w:rPr>
        <w:t xml:space="preserve">sporných ustanovení schváleného </w:t>
      </w:r>
      <w:r w:rsidRPr="00B00F06">
        <w:rPr>
          <w:rFonts w:ascii="Cambria" w:hAnsi="Cambria"/>
          <w:color w:val="auto"/>
          <w:sz w:val="24"/>
          <w:szCs w:val="24"/>
        </w:rPr>
        <w:t>zákona možné ani odvodiť.</w:t>
      </w:r>
    </w:p>
    <w:p w14:paraId="7DA7567E" w14:textId="77777777" w:rsidR="00B00F06" w:rsidRPr="00B00F06" w:rsidRDefault="00B00F06" w:rsidP="00B00F06">
      <w:pPr>
        <w:spacing w:after="120" w:line="288" w:lineRule="auto"/>
        <w:ind w:firstLine="708"/>
        <w:jc w:val="both"/>
        <w:rPr>
          <w:rFonts w:ascii="Cambria" w:hAnsi="Cambria"/>
          <w:color w:val="auto"/>
          <w:sz w:val="24"/>
          <w:szCs w:val="24"/>
        </w:rPr>
      </w:pPr>
      <w:r w:rsidRPr="00B00F06">
        <w:rPr>
          <w:rFonts w:ascii="Cambria" w:hAnsi="Cambria"/>
          <w:color w:val="auto"/>
          <w:sz w:val="24"/>
          <w:szCs w:val="24"/>
        </w:rPr>
        <w:t>Súčasne nie je zrejmé, akým spôsobom má sprístupňovanie samotných telefónnych čísiel účastníkov (ktorými pravidelne nie sú fyzické osoby)</w:t>
      </w:r>
      <w:r w:rsidR="00FA03C3">
        <w:rPr>
          <w:rFonts w:ascii="Cambria" w:hAnsi="Cambria"/>
          <w:color w:val="auto"/>
          <w:sz w:val="24"/>
          <w:szCs w:val="24"/>
        </w:rPr>
        <w:t xml:space="preserve"> a ďalších veľmi citlivých osobných údajov</w:t>
      </w:r>
      <w:r w:rsidRPr="00B00F06">
        <w:rPr>
          <w:rFonts w:ascii="Cambria" w:hAnsi="Cambria"/>
          <w:color w:val="auto"/>
          <w:sz w:val="24"/>
          <w:szCs w:val="24"/>
        </w:rPr>
        <w:t xml:space="preserve"> Úradu prispieť „</w:t>
      </w:r>
      <w:r w:rsidR="009B3D81">
        <w:rPr>
          <w:rFonts w:ascii="Cambria" w:hAnsi="Cambria"/>
          <w:color w:val="auto"/>
          <w:sz w:val="24"/>
          <w:szCs w:val="24"/>
        </w:rPr>
        <w:t xml:space="preserve">na účely </w:t>
      </w:r>
      <w:r w:rsidR="001A1586">
        <w:rPr>
          <w:rFonts w:ascii="Cambria" w:hAnsi="Cambria"/>
          <w:color w:val="auto"/>
          <w:sz w:val="24"/>
          <w:szCs w:val="24"/>
        </w:rPr>
        <w:t>zabránenia vzniku a šírenia pandémie alebo nebezpečnej nákazlivej ľudskej choroby</w:t>
      </w:r>
      <w:r w:rsidRPr="00B00F06">
        <w:rPr>
          <w:rFonts w:ascii="Cambria" w:hAnsi="Cambria"/>
          <w:color w:val="auto"/>
          <w:sz w:val="24"/>
          <w:szCs w:val="24"/>
        </w:rPr>
        <w:t xml:space="preserve">“. Taktiež nie je presvedčivo odôvodnená lehota 60 dní, počas ktorej môže Úrad uchovávať osobné údaje poskytnuté podnikom, pričom </w:t>
      </w:r>
      <w:r w:rsidR="00FA03C3">
        <w:rPr>
          <w:rFonts w:ascii="Cambria" w:hAnsi="Cambria"/>
          <w:color w:val="auto"/>
          <w:sz w:val="24"/>
          <w:szCs w:val="24"/>
        </w:rPr>
        <w:t xml:space="preserve">sporné ustanovenia </w:t>
      </w:r>
      <w:r w:rsidRPr="00B00F06">
        <w:rPr>
          <w:rFonts w:ascii="Cambria" w:hAnsi="Cambria"/>
          <w:color w:val="auto"/>
          <w:sz w:val="24"/>
          <w:szCs w:val="24"/>
        </w:rPr>
        <w:t>schválen</w:t>
      </w:r>
      <w:r w:rsidR="00FA03C3">
        <w:rPr>
          <w:rFonts w:ascii="Cambria" w:hAnsi="Cambria"/>
          <w:color w:val="auto"/>
          <w:sz w:val="24"/>
          <w:szCs w:val="24"/>
        </w:rPr>
        <w:t>ého</w:t>
      </w:r>
      <w:r w:rsidRPr="00B00F06">
        <w:rPr>
          <w:rFonts w:ascii="Cambria" w:hAnsi="Cambria"/>
          <w:color w:val="auto"/>
          <w:sz w:val="24"/>
          <w:szCs w:val="24"/>
        </w:rPr>
        <w:t xml:space="preserve"> zákon</w:t>
      </w:r>
      <w:r w:rsidR="00FA03C3">
        <w:rPr>
          <w:rFonts w:ascii="Cambria" w:hAnsi="Cambria"/>
          <w:color w:val="auto"/>
          <w:sz w:val="24"/>
          <w:szCs w:val="24"/>
        </w:rPr>
        <w:t>a</w:t>
      </w:r>
      <w:r w:rsidRPr="00B00F06">
        <w:rPr>
          <w:rFonts w:ascii="Cambria" w:hAnsi="Cambria"/>
          <w:color w:val="auto"/>
          <w:sz w:val="24"/>
          <w:szCs w:val="24"/>
        </w:rPr>
        <w:t xml:space="preserve"> vzhľadom na </w:t>
      </w:r>
      <w:r w:rsidR="00FA03C3">
        <w:rPr>
          <w:rFonts w:ascii="Cambria" w:hAnsi="Cambria"/>
          <w:color w:val="auto"/>
          <w:sz w:val="24"/>
          <w:szCs w:val="24"/>
        </w:rPr>
        <w:t>ich</w:t>
      </w:r>
      <w:r w:rsidRPr="00B00F06">
        <w:rPr>
          <w:rFonts w:ascii="Cambria" w:hAnsi="Cambria"/>
          <w:color w:val="auto"/>
          <w:sz w:val="24"/>
          <w:szCs w:val="24"/>
        </w:rPr>
        <w:t xml:space="preserve"> všeobecn</w:t>
      </w:r>
      <w:r w:rsidR="00FA03C3">
        <w:rPr>
          <w:rFonts w:ascii="Cambria" w:hAnsi="Cambria"/>
          <w:color w:val="auto"/>
          <w:sz w:val="24"/>
          <w:szCs w:val="24"/>
        </w:rPr>
        <w:t>ú</w:t>
      </w:r>
      <w:r w:rsidRPr="00B00F06">
        <w:rPr>
          <w:rFonts w:ascii="Cambria" w:hAnsi="Cambria"/>
          <w:color w:val="auto"/>
          <w:sz w:val="24"/>
          <w:szCs w:val="24"/>
        </w:rPr>
        <w:t xml:space="preserve"> formul</w:t>
      </w:r>
      <w:r w:rsidR="00FA03C3">
        <w:rPr>
          <w:rFonts w:ascii="Cambria" w:hAnsi="Cambria"/>
          <w:color w:val="auto"/>
          <w:sz w:val="24"/>
          <w:szCs w:val="24"/>
        </w:rPr>
        <w:t>áciu</w:t>
      </w:r>
      <w:r w:rsidRPr="00B00F06">
        <w:rPr>
          <w:rFonts w:ascii="Cambria" w:hAnsi="Cambria"/>
          <w:color w:val="auto"/>
          <w:sz w:val="24"/>
          <w:szCs w:val="24"/>
        </w:rPr>
        <w:t xml:space="preserve"> neposkytuj</w:t>
      </w:r>
      <w:r w:rsidR="00FA03C3">
        <w:rPr>
          <w:rFonts w:ascii="Cambria" w:hAnsi="Cambria"/>
          <w:color w:val="auto"/>
          <w:sz w:val="24"/>
          <w:szCs w:val="24"/>
        </w:rPr>
        <w:t>ú</w:t>
      </w:r>
      <w:r w:rsidRPr="00B00F06">
        <w:rPr>
          <w:rFonts w:ascii="Cambria" w:hAnsi="Cambria"/>
          <w:color w:val="auto"/>
          <w:sz w:val="24"/>
          <w:szCs w:val="24"/>
        </w:rPr>
        <w:t xml:space="preserve"> jednoznačnú a konkrétnu odpoveď na otázku, na ktoré účely môže úrad poskytnuté osobné údaje použiť. Ako presne možno s týmito osobnými údajmi naložiť, nie je špecifikované a jednoznačne určiteľné. Zákon obmedzujúci základné práva musí byť dostatočne konkrétny, aby jeho aplikácia bola predvídateľná.</w:t>
      </w:r>
    </w:p>
    <w:p w14:paraId="17AE1EDB" w14:textId="76469CA9" w:rsidR="00B00F06" w:rsidRPr="00B00F06" w:rsidRDefault="00B00F06" w:rsidP="00B00F06">
      <w:pPr>
        <w:spacing w:after="120" w:line="288" w:lineRule="auto"/>
        <w:ind w:firstLine="708"/>
        <w:jc w:val="both"/>
        <w:rPr>
          <w:rFonts w:ascii="Cambria" w:hAnsi="Cambria"/>
          <w:color w:val="auto"/>
          <w:sz w:val="24"/>
          <w:szCs w:val="24"/>
        </w:rPr>
      </w:pPr>
      <w:r w:rsidRPr="00B00F06">
        <w:rPr>
          <w:rFonts w:ascii="Cambria" w:hAnsi="Cambria"/>
          <w:color w:val="auto"/>
          <w:sz w:val="24"/>
          <w:szCs w:val="24"/>
        </w:rPr>
        <w:t>V</w:t>
      </w:r>
      <w:r w:rsidR="00FA03C3">
        <w:rPr>
          <w:rFonts w:ascii="Cambria" w:hAnsi="Cambria"/>
          <w:color w:val="auto"/>
          <w:sz w:val="24"/>
          <w:szCs w:val="24"/>
        </w:rPr>
        <w:t> sporných ustanoveniach schváleného zákona</w:t>
      </w:r>
      <w:r w:rsidRPr="00B00F06">
        <w:rPr>
          <w:rFonts w:ascii="Cambria" w:hAnsi="Cambria"/>
          <w:color w:val="auto"/>
          <w:sz w:val="24"/>
          <w:szCs w:val="24"/>
        </w:rPr>
        <w:t xml:space="preserve"> absentujú hmatateľné a overiteľné záruky zabezpečenia mimoriadne vysokej úrovne ochrany a bezpečnosti údajov, všeobecný odkaz na prijatie „zodpovedajúcich technických a organizačných opatrení“ sa nejaví ako dostatočný. Účinná ochrana pred neprípustným zásahom do práva na súkromie by mala byť zaručená aj prostredníctvom povinnosti dodatočne informovať účastníka siete o tom, že osobné údaje, ktoré sa ho týkajú, boli oznámené inému štátnemu orgánu (PL. ÚS 10/2014). S</w:t>
      </w:r>
      <w:r w:rsidR="00B56EA0">
        <w:rPr>
          <w:rFonts w:ascii="Cambria" w:hAnsi="Cambria"/>
          <w:color w:val="auto"/>
          <w:sz w:val="24"/>
          <w:szCs w:val="24"/>
        </w:rPr>
        <w:t>porné ustanoveni</w:t>
      </w:r>
      <w:r w:rsidR="00B170E5">
        <w:rPr>
          <w:rFonts w:ascii="Cambria" w:hAnsi="Cambria"/>
          <w:color w:val="auto"/>
          <w:sz w:val="24"/>
          <w:szCs w:val="24"/>
        </w:rPr>
        <w:t>e</w:t>
      </w:r>
      <w:r w:rsidR="00B56EA0">
        <w:rPr>
          <w:rFonts w:ascii="Cambria" w:hAnsi="Cambria"/>
          <w:color w:val="auto"/>
          <w:sz w:val="24"/>
          <w:szCs w:val="24"/>
        </w:rPr>
        <w:t xml:space="preserve"> s</w:t>
      </w:r>
      <w:r w:rsidRPr="00B00F06">
        <w:rPr>
          <w:rFonts w:ascii="Cambria" w:hAnsi="Cambria"/>
          <w:color w:val="auto"/>
          <w:sz w:val="24"/>
          <w:szCs w:val="24"/>
        </w:rPr>
        <w:t>chválen</w:t>
      </w:r>
      <w:r w:rsidR="00B56EA0">
        <w:rPr>
          <w:rFonts w:ascii="Cambria" w:hAnsi="Cambria"/>
          <w:color w:val="auto"/>
          <w:sz w:val="24"/>
          <w:szCs w:val="24"/>
        </w:rPr>
        <w:t>ého</w:t>
      </w:r>
      <w:r w:rsidRPr="00B00F06">
        <w:rPr>
          <w:rFonts w:ascii="Cambria" w:hAnsi="Cambria"/>
          <w:color w:val="auto"/>
          <w:sz w:val="24"/>
          <w:szCs w:val="24"/>
        </w:rPr>
        <w:t xml:space="preserve"> zákon</w:t>
      </w:r>
      <w:r w:rsidR="00B56EA0">
        <w:rPr>
          <w:rFonts w:ascii="Cambria" w:hAnsi="Cambria"/>
          <w:color w:val="auto"/>
          <w:sz w:val="24"/>
          <w:szCs w:val="24"/>
        </w:rPr>
        <w:t>a však neustanovuj</w:t>
      </w:r>
      <w:r w:rsidR="00B170E5">
        <w:rPr>
          <w:rFonts w:ascii="Cambria" w:hAnsi="Cambria"/>
          <w:color w:val="auto"/>
          <w:sz w:val="24"/>
          <w:szCs w:val="24"/>
        </w:rPr>
        <w:t>e žiadny, ani nepriamy, mechanizmus</w:t>
      </w:r>
      <w:r w:rsidRPr="00B00F06">
        <w:rPr>
          <w:rFonts w:ascii="Cambria" w:hAnsi="Cambria"/>
          <w:color w:val="auto"/>
          <w:sz w:val="24"/>
          <w:szCs w:val="24"/>
        </w:rPr>
        <w:t xml:space="preserve"> oznám</w:t>
      </w:r>
      <w:r w:rsidR="00B170E5">
        <w:rPr>
          <w:rFonts w:ascii="Cambria" w:hAnsi="Cambria"/>
          <w:color w:val="auto"/>
          <w:sz w:val="24"/>
          <w:szCs w:val="24"/>
        </w:rPr>
        <w:t>enia</w:t>
      </w:r>
      <w:r w:rsidRPr="00B00F06">
        <w:rPr>
          <w:rFonts w:ascii="Cambria" w:hAnsi="Cambria"/>
          <w:color w:val="auto"/>
          <w:sz w:val="24"/>
          <w:szCs w:val="24"/>
        </w:rPr>
        <w:t xml:space="preserve"> účastníkovi siete, že podnik jeho osobné údaje poskytol na základe písomnej žiadosti Úradu. </w:t>
      </w:r>
    </w:p>
    <w:p w14:paraId="0DE26D6F" w14:textId="228C7ABB" w:rsidR="001A1586" w:rsidRDefault="001A1586" w:rsidP="001A1586">
      <w:pPr>
        <w:spacing w:after="120" w:line="288" w:lineRule="auto"/>
        <w:ind w:firstLine="708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lastRenderedPageBreak/>
        <w:t>Sporné ustanoveni</w:t>
      </w:r>
      <w:r w:rsidR="00B170E5">
        <w:rPr>
          <w:rFonts w:ascii="Cambria" w:hAnsi="Cambria"/>
          <w:color w:val="auto"/>
          <w:sz w:val="24"/>
          <w:szCs w:val="24"/>
        </w:rPr>
        <w:t>e</w:t>
      </w:r>
      <w:r>
        <w:rPr>
          <w:rFonts w:ascii="Cambria" w:hAnsi="Cambria"/>
          <w:color w:val="auto"/>
          <w:sz w:val="24"/>
          <w:szCs w:val="24"/>
        </w:rPr>
        <w:t xml:space="preserve"> schváleného</w:t>
      </w:r>
      <w:r w:rsidR="00B00F06" w:rsidRPr="00B00F06">
        <w:rPr>
          <w:rFonts w:ascii="Cambria" w:hAnsi="Cambria"/>
          <w:color w:val="auto"/>
          <w:sz w:val="24"/>
          <w:szCs w:val="24"/>
        </w:rPr>
        <w:t xml:space="preserve"> zákon</w:t>
      </w:r>
      <w:r>
        <w:rPr>
          <w:rFonts w:ascii="Cambria" w:hAnsi="Cambria"/>
          <w:color w:val="auto"/>
          <w:sz w:val="24"/>
          <w:szCs w:val="24"/>
        </w:rPr>
        <w:t>a vykazuj</w:t>
      </w:r>
      <w:r w:rsidR="00B170E5">
        <w:rPr>
          <w:rFonts w:ascii="Cambria" w:hAnsi="Cambria"/>
          <w:color w:val="auto"/>
          <w:sz w:val="24"/>
          <w:szCs w:val="24"/>
        </w:rPr>
        <w:t>e</w:t>
      </w:r>
      <w:r w:rsidR="00B00F06" w:rsidRPr="00B00F06">
        <w:rPr>
          <w:rFonts w:ascii="Cambria" w:hAnsi="Cambria"/>
          <w:color w:val="auto"/>
          <w:sz w:val="24"/>
          <w:szCs w:val="24"/>
        </w:rPr>
        <w:t xml:space="preserve"> aj viaceré aplikačné nedostatky</w:t>
      </w:r>
      <w:r>
        <w:rPr>
          <w:rFonts w:ascii="Cambria" w:hAnsi="Cambria"/>
          <w:color w:val="auto"/>
          <w:sz w:val="24"/>
          <w:szCs w:val="24"/>
        </w:rPr>
        <w:t xml:space="preserve">, čoho dôkazom je aj nevyužívanie </w:t>
      </w:r>
      <w:r w:rsidR="00B170E5">
        <w:rPr>
          <w:rFonts w:ascii="Cambria" w:hAnsi="Cambria"/>
          <w:color w:val="auto"/>
          <w:sz w:val="24"/>
          <w:szCs w:val="24"/>
        </w:rPr>
        <w:t>obdobného ustanovenia (</w:t>
      </w:r>
      <w:r w:rsidR="00F9295A">
        <w:rPr>
          <w:rFonts w:ascii="Cambria" w:hAnsi="Cambria"/>
          <w:color w:val="auto"/>
          <w:sz w:val="24"/>
          <w:szCs w:val="24"/>
        </w:rPr>
        <w:t>v</w:t>
      </w:r>
      <w:r w:rsidR="00B170E5">
        <w:rPr>
          <w:rFonts w:ascii="Cambria" w:hAnsi="Cambria"/>
          <w:color w:val="auto"/>
          <w:sz w:val="24"/>
          <w:szCs w:val="24"/>
        </w:rPr>
        <w:t> aktuálne platnej úprave</w:t>
      </w:r>
      <w:r w:rsidR="00F9295A">
        <w:rPr>
          <w:rFonts w:ascii="Cambria" w:hAnsi="Cambria"/>
          <w:color w:val="auto"/>
          <w:sz w:val="24"/>
          <w:szCs w:val="24"/>
        </w:rPr>
        <w:t>)</w:t>
      </w:r>
      <w:r w:rsidR="00B170E5">
        <w:rPr>
          <w:rFonts w:ascii="Cambria" w:hAnsi="Cambria"/>
          <w:color w:val="auto"/>
          <w:sz w:val="24"/>
          <w:szCs w:val="24"/>
        </w:rPr>
        <w:t xml:space="preserve"> </w:t>
      </w:r>
      <w:r>
        <w:rPr>
          <w:rFonts w:ascii="Cambria" w:hAnsi="Cambria"/>
          <w:color w:val="auto"/>
          <w:sz w:val="24"/>
          <w:szCs w:val="24"/>
        </w:rPr>
        <w:t>v priebehu súčasnej krízovej situácie súvisiacej s pandémiou nákazlivej ľudskej choroby COVID-19</w:t>
      </w:r>
      <w:r w:rsidR="00BD7B54">
        <w:rPr>
          <w:rFonts w:ascii="Cambria" w:hAnsi="Cambria"/>
          <w:color w:val="auto"/>
          <w:sz w:val="24"/>
          <w:szCs w:val="24"/>
        </w:rPr>
        <w:t>,</w:t>
      </w:r>
      <w:r>
        <w:rPr>
          <w:rFonts w:ascii="Cambria" w:hAnsi="Cambria"/>
          <w:color w:val="auto"/>
          <w:sz w:val="24"/>
          <w:szCs w:val="24"/>
        </w:rPr>
        <w:t xml:space="preserve"> a to aj napriek tomu, že </w:t>
      </w:r>
      <w:r w:rsidR="00F9295A">
        <w:rPr>
          <w:rFonts w:ascii="Cambria" w:hAnsi="Cambria"/>
          <w:color w:val="auto"/>
          <w:sz w:val="24"/>
          <w:szCs w:val="24"/>
        </w:rPr>
        <w:t xml:space="preserve">je </w:t>
      </w:r>
      <w:r>
        <w:rPr>
          <w:rFonts w:ascii="Cambria" w:hAnsi="Cambria"/>
          <w:color w:val="auto"/>
          <w:sz w:val="24"/>
          <w:szCs w:val="24"/>
        </w:rPr>
        <w:t>súčasťou platného právneho poriadku Slovenskej republiky od účinnosti novely zákona o elektronických komunikáciách, teda od septembra 2020.</w:t>
      </w:r>
    </w:p>
    <w:p w14:paraId="37247871" w14:textId="77777777" w:rsidR="00B1545F" w:rsidRPr="005330BC" w:rsidRDefault="00B1545F" w:rsidP="002F2BF3">
      <w:pPr>
        <w:spacing w:after="120" w:line="288" w:lineRule="auto"/>
        <w:ind w:firstLine="708"/>
        <w:jc w:val="both"/>
        <w:rPr>
          <w:rFonts w:ascii="Cambria" w:hAnsi="Cambria"/>
          <w:color w:val="auto"/>
          <w:sz w:val="24"/>
          <w:szCs w:val="24"/>
        </w:rPr>
      </w:pPr>
    </w:p>
    <w:p w14:paraId="0D2D6145" w14:textId="77777777" w:rsidR="00CA310C" w:rsidRPr="00221E2C" w:rsidRDefault="00214E5C" w:rsidP="00CA310C">
      <w:pPr>
        <w:spacing w:after="120" w:line="276" w:lineRule="auto"/>
        <w:jc w:val="center"/>
        <w:rPr>
          <w:rFonts w:ascii="Cambria" w:eastAsia="Cambria" w:hAnsi="Cambria" w:cs="Cambria"/>
          <w:color w:val="auto"/>
          <w:sz w:val="24"/>
          <w:szCs w:val="24"/>
        </w:rPr>
      </w:pPr>
      <w:r>
        <w:rPr>
          <w:rFonts w:ascii="Cambria" w:eastAsia="Cambria" w:hAnsi="Cambria" w:cs="Cambria"/>
          <w:color w:val="auto"/>
          <w:sz w:val="24"/>
          <w:szCs w:val="24"/>
        </w:rPr>
        <w:t>IV</w:t>
      </w:r>
    </w:p>
    <w:p w14:paraId="20F93BDB" w14:textId="77777777" w:rsidR="00CA310C" w:rsidRPr="00221E2C" w:rsidRDefault="00CA310C" w:rsidP="00CA310C">
      <w:pPr>
        <w:spacing w:after="120" w:line="276" w:lineRule="auto"/>
        <w:jc w:val="both"/>
        <w:rPr>
          <w:rStyle w:val="Hyperlink0"/>
          <w:color w:val="auto"/>
        </w:rPr>
      </w:pPr>
      <w:r w:rsidRPr="00221E2C">
        <w:rPr>
          <w:rFonts w:ascii="Cambria" w:eastAsia="Cambria" w:hAnsi="Cambria" w:cs="Cambria"/>
          <w:color w:val="auto"/>
          <w:sz w:val="24"/>
          <w:szCs w:val="24"/>
        </w:rPr>
        <w:tab/>
      </w:r>
      <w:r w:rsidRPr="00221E2C">
        <w:rPr>
          <w:rStyle w:val="Hyperlink0"/>
          <w:color w:val="auto"/>
        </w:rPr>
        <w:t xml:space="preserve">V nadväznosti na pripomienky uvedené v časti II </w:t>
      </w:r>
      <w:r w:rsidR="00214E5C">
        <w:rPr>
          <w:rStyle w:val="Hyperlink0"/>
          <w:color w:val="auto"/>
        </w:rPr>
        <w:t xml:space="preserve">a III </w:t>
      </w:r>
      <w:r w:rsidRPr="00221E2C">
        <w:rPr>
          <w:rStyle w:val="Hyperlink0"/>
          <w:color w:val="auto"/>
        </w:rPr>
        <w:t>navrhujem, aby národná rada pri opätovnom prerokovaní schválil</w:t>
      </w:r>
      <w:bookmarkStart w:id="1" w:name="_GoBack"/>
      <w:bookmarkEnd w:id="1"/>
      <w:r w:rsidRPr="00221E2C">
        <w:rPr>
          <w:rStyle w:val="Hyperlink0"/>
          <w:color w:val="auto"/>
        </w:rPr>
        <w:t>a zákon s t</w:t>
      </w:r>
      <w:r w:rsidR="002B27D3">
        <w:rPr>
          <w:rStyle w:val="Hyperlink0"/>
          <w:color w:val="auto"/>
        </w:rPr>
        <w:t>outo</w:t>
      </w:r>
      <w:r w:rsidRPr="00221E2C">
        <w:rPr>
          <w:rStyle w:val="Hyperlink0"/>
          <w:color w:val="auto"/>
        </w:rPr>
        <w:t xml:space="preserve"> zmen</w:t>
      </w:r>
      <w:r w:rsidR="002B27D3">
        <w:rPr>
          <w:rStyle w:val="Hyperlink0"/>
          <w:color w:val="auto"/>
        </w:rPr>
        <w:t>ou</w:t>
      </w:r>
      <w:r w:rsidRPr="00221E2C">
        <w:rPr>
          <w:rStyle w:val="Hyperlink0"/>
          <w:color w:val="auto"/>
        </w:rPr>
        <w:t>:</w:t>
      </w:r>
    </w:p>
    <w:p w14:paraId="147A0559" w14:textId="77777777" w:rsidR="00CA310C" w:rsidRDefault="00CA310C" w:rsidP="00CA310C">
      <w:pPr>
        <w:spacing w:after="120" w:line="276" w:lineRule="auto"/>
        <w:ind w:left="720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14:paraId="282BD112" w14:textId="77777777" w:rsidR="00B05E72" w:rsidRDefault="00B05E72" w:rsidP="002B27D3">
      <w:pPr>
        <w:spacing w:after="120" w:line="288" w:lineRule="auto"/>
        <w:ind w:firstLine="708"/>
        <w:jc w:val="both"/>
        <w:rPr>
          <w:rStyle w:val="Hyperlink0"/>
        </w:rPr>
      </w:pPr>
      <w:r w:rsidRPr="00D04ADA">
        <w:rPr>
          <w:rStyle w:val="Hyperlink0"/>
        </w:rPr>
        <w:t>§ 117 ods. 21 schváleného zákona sa vypúšťa.</w:t>
      </w:r>
    </w:p>
    <w:p w14:paraId="340059AF" w14:textId="6BF37733" w:rsidR="008008DC" w:rsidRPr="00D04ADA" w:rsidRDefault="00BD7B54" w:rsidP="008008DC">
      <w:pPr>
        <w:spacing w:after="120" w:line="288" w:lineRule="auto"/>
        <w:ind w:left="720"/>
        <w:jc w:val="both"/>
        <w:rPr>
          <w:rStyle w:val="Hyperlink0"/>
        </w:rPr>
      </w:pPr>
      <w:r>
        <w:rPr>
          <w:rStyle w:val="Hyperlink0"/>
        </w:rPr>
        <w:t>P</w:t>
      </w:r>
      <w:r w:rsidR="008008DC">
        <w:rPr>
          <w:rStyle w:val="Hyperlink0"/>
        </w:rPr>
        <w:t>oznámka pod čiarou k odkazu 137</w:t>
      </w:r>
      <w:r>
        <w:rPr>
          <w:rStyle w:val="Hyperlink0"/>
        </w:rPr>
        <w:t xml:space="preserve"> sa vypúšťa</w:t>
      </w:r>
      <w:r w:rsidR="008008DC">
        <w:rPr>
          <w:rStyle w:val="Hyperlink0"/>
        </w:rPr>
        <w:t xml:space="preserve">. Ostatné odkazy </w:t>
      </w:r>
      <w:r w:rsidR="00491463">
        <w:rPr>
          <w:rStyle w:val="Hyperlink0"/>
        </w:rPr>
        <w:t xml:space="preserve">vrátane poznámok pod čiarou k nim </w:t>
      </w:r>
      <w:r w:rsidR="008008DC">
        <w:rPr>
          <w:rStyle w:val="Hyperlink0"/>
        </w:rPr>
        <w:t>sa primerane prečíslujú.</w:t>
      </w:r>
    </w:p>
    <w:p w14:paraId="0C7D669E" w14:textId="77777777" w:rsidR="00CA310C" w:rsidRDefault="00CA310C" w:rsidP="00CA310C">
      <w:pPr>
        <w:spacing w:after="120" w:line="276" w:lineRule="auto"/>
        <w:jc w:val="both"/>
        <w:rPr>
          <w:rStyle w:val="iadne"/>
          <w:rFonts w:ascii="Cambria" w:hAnsi="Cambria"/>
          <w:color w:val="auto"/>
          <w:sz w:val="24"/>
          <w:szCs w:val="24"/>
        </w:rPr>
      </w:pPr>
    </w:p>
    <w:p w14:paraId="41D67F49" w14:textId="77777777" w:rsidR="008F3F41" w:rsidRPr="005330BC" w:rsidRDefault="00CA310C" w:rsidP="008008DC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Style w:val="iadne"/>
          <w:rFonts w:ascii="Cambria" w:hAnsi="Cambria"/>
          <w:color w:val="auto"/>
          <w:sz w:val="24"/>
          <w:szCs w:val="24"/>
        </w:rPr>
        <w:t>Bratislava 1</w:t>
      </w:r>
      <w:r w:rsidR="002B27D3">
        <w:rPr>
          <w:rStyle w:val="iadne"/>
          <w:rFonts w:ascii="Cambria" w:hAnsi="Cambria"/>
          <w:color w:val="auto"/>
          <w:sz w:val="24"/>
          <w:szCs w:val="24"/>
        </w:rPr>
        <w:t>9</w:t>
      </w:r>
      <w:r>
        <w:rPr>
          <w:rStyle w:val="iadne"/>
          <w:rFonts w:ascii="Cambria" w:hAnsi="Cambria"/>
          <w:color w:val="auto"/>
          <w:sz w:val="24"/>
          <w:szCs w:val="24"/>
        </w:rPr>
        <w:t>. novembra 2021</w:t>
      </w:r>
    </w:p>
    <w:sectPr w:rsidR="008F3F41" w:rsidRPr="005330BC" w:rsidSect="00BD7B54">
      <w:footerReference w:type="default" r:id="rId11"/>
      <w:pgSz w:w="11906" w:h="16838" w:code="9"/>
      <w:pgMar w:top="155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447A9" w14:textId="77777777" w:rsidR="00031477" w:rsidRDefault="00031477" w:rsidP="00BD7B54">
      <w:pPr>
        <w:spacing w:after="0" w:line="240" w:lineRule="auto"/>
      </w:pPr>
      <w:r>
        <w:separator/>
      </w:r>
    </w:p>
  </w:endnote>
  <w:endnote w:type="continuationSeparator" w:id="0">
    <w:p w14:paraId="7D3CD6CC" w14:textId="77777777" w:rsidR="00031477" w:rsidRDefault="00031477" w:rsidP="00BD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227273"/>
      <w:docPartObj>
        <w:docPartGallery w:val="Page Numbers (Bottom of Page)"/>
        <w:docPartUnique/>
      </w:docPartObj>
    </w:sdtPr>
    <w:sdtContent>
      <w:p w14:paraId="6B83957C" w14:textId="1DAF7B36" w:rsidR="00BD7B54" w:rsidRDefault="00BD7B5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463">
          <w:rPr>
            <w:noProof/>
          </w:rPr>
          <w:t>5</w:t>
        </w:r>
        <w:r>
          <w:fldChar w:fldCharType="end"/>
        </w:r>
      </w:p>
    </w:sdtContent>
  </w:sdt>
  <w:p w14:paraId="253A74BC" w14:textId="77777777" w:rsidR="00BD7B54" w:rsidRDefault="00BD7B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FC95A" w14:textId="77777777" w:rsidR="00031477" w:rsidRDefault="00031477" w:rsidP="00BD7B54">
      <w:pPr>
        <w:spacing w:after="0" w:line="240" w:lineRule="auto"/>
      </w:pPr>
      <w:r>
        <w:separator/>
      </w:r>
    </w:p>
  </w:footnote>
  <w:footnote w:type="continuationSeparator" w:id="0">
    <w:p w14:paraId="150CFC8E" w14:textId="77777777" w:rsidR="00031477" w:rsidRDefault="00031477" w:rsidP="00BD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1966"/>
    <w:multiLevelType w:val="hybridMultilevel"/>
    <w:tmpl w:val="EA4E4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F3"/>
    <w:rsid w:val="00003DC4"/>
    <w:rsid w:val="00031477"/>
    <w:rsid w:val="000B13C7"/>
    <w:rsid w:val="000F73B3"/>
    <w:rsid w:val="001179A3"/>
    <w:rsid w:val="00154921"/>
    <w:rsid w:val="001A1586"/>
    <w:rsid w:val="001C5960"/>
    <w:rsid w:val="001F609D"/>
    <w:rsid w:val="00214E5C"/>
    <w:rsid w:val="002417D5"/>
    <w:rsid w:val="00241C36"/>
    <w:rsid w:val="002B27D3"/>
    <w:rsid w:val="002F2BF3"/>
    <w:rsid w:val="003B47D6"/>
    <w:rsid w:val="00491463"/>
    <w:rsid w:val="005330BC"/>
    <w:rsid w:val="006B66D8"/>
    <w:rsid w:val="006E6AB1"/>
    <w:rsid w:val="007541D3"/>
    <w:rsid w:val="007612BD"/>
    <w:rsid w:val="00783181"/>
    <w:rsid w:val="007D2842"/>
    <w:rsid w:val="008008DC"/>
    <w:rsid w:val="0089602E"/>
    <w:rsid w:val="008F3F41"/>
    <w:rsid w:val="00910329"/>
    <w:rsid w:val="009301E5"/>
    <w:rsid w:val="00986388"/>
    <w:rsid w:val="009B3D81"/>
    <w:rsid w:val="00A93FB0"/>
    <w:rsid w:val="00B00F06"/>
    <w:rsid w:val="00B05E72"/>
    <w:rsid w:val="00B1545F"/>
    <w:rsid w:val="00B170E5"/>
    <w:rsid w:val="00B245C9"/>
    <w:rsid w:val="00B56EA0"/>
    <w:rsid w:val="00BD7B54"/>
    <w:rsid w:val="00BE4772"/>
    <w:rsid w:val="00C41B6E"/>
    <w:rsid w:val="00CA310C"/>
    <w:rsid w:val="00F00248"/>
    <w:rsid w:val="00F13785"/>
    <w:rsid w:val="00F9295A"/>
    <w:rsid w:val="00F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90CE"/>
  <w15:chartTrackingRefBased/>
  <w15:docId w15:val="{370C8A25-90D5-4B95-B334-BD64119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2B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CA310C"/>
  </w:style>
  <w:style w:type="character" w:customStyle="1" w:styleId="Hyperlink0">
    <w:name w:val="Hyperlink.0"/>
    <w:basedOn w:val="iadne"/>
    <w:rsid w:val="00CA310C"/>
    <w:rPr>
      <w:rFonts w:ascii="Cambria" w:eastAsia="Cambria" w:hAnsi="Cambria" w:cs="Cambri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AB1"/>
    <w:rPr>
      <w:rFonts w:ascii="Segoe UI" w:eastAsia="Calibri" w:hAnsi="Segoe UI" w:cs="Segoe UI"/>
      <w:color w:val="000000"/>
      <w:sz w:val="18"/>
      <w:szCs w:val="18"/>
      <w:u w:color="000000"/>
      <w:bdr w:val="ni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7B54"/>
    <w:rPr>
      <w:rFonts w:ascii="Calibri" w:eastAsia="Calibri" w:hAnsi="Calibri" w:cs="Calibri"/>
      <w:color w:val="000000"/>
      <w:u w:color="000000"/>
      <w:bdr w:val="ni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7B54"/>
    <w:rPr>
      <w:rFonts w:ascii="Calibri" w:eastAsia="Calibri" w:hAnsi="Calibri" w:cs="Calibri"/>
      <w:color w:val="000000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3A1FEDAB7DE4BADAB675FD56FB4E9" ma:contentTypeVersion="13" ma:contentTypeDescription="Create a new document." ma:contentTypeScope="" ma:versionID="0b87145e8327ac8a48fa67a5213fd9a4">
  <xsd:schema xmlns:xsd="http://www.w3.org/2001/XMLSchema" xmlns:xs="http://www.w3.org/2001/XMLSchema" xmlns:p="http://schemas.microsoft.com/office/2006/metadata/properties" xmlns:ns3="da47cf90-41c9-4e7f-882b-6c7b2239c3dd" xmlns:ns4="59935a8a-7961-4673-9a3c-96fe39d0e4de" targetNamespace="http://schemas.microsoft.com/office/2006/metadata/properties" ma:root="true" ma:fieldsID="aeb6ed0a6636e9eacd7a58a15df2ff55" ns3:_="" ns4:_="">
    <xsd:import namespace="da47cf90-41c9-4e7f-882b-6c7b2239c3dd"/>
    <xsd:import namespace="59935a8a-7961-4673-9a3c-96fe39d0e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7cf90-41c9-4e7f-882b-6c7b2239c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35a8a-7961-4673-9a3c-96fe39d0e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BDCE-57BB-42F5-8872-DC5833C0C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7cf90-41c9-4e7f-882b-6c7b2239c3dd"/>
    <ds:schemaRef ds:uri="59935a8a-7961-4673-9a3c-96fe39d0e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6E5BD-43A9-4B6B-8E1E-F93C300C0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C7FE54-83CF-4BB2-A8B5-5397CF4CE8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C28152-1351-493F-BCBC-74FFEB00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Capandova</dc:creator>
  <cp:keywords/>
  <dc:description/>
  <cp:lastModifiedBy>Martin Halmeš</cp:lastModifiedBy>
  <cp:revision>2</cp:revision>
  <cp:lastPrinted>2021-11-19T08:29:00Z</cp:lastPrinted>
  <dcterms:created xsi:type="dcterms:W3CDTF">2021-11-19T08:34:00Z</dcterms:created>
  <dcterms:modified xsi:type="dcterms:W3CDTF">2021-11-19T08:34:00Z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0x010100CEE3A1FEDAB7DE4BADAB675FD56FB4E9</vt:lpwstr>
  </property>
</Properties>
</file>